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olo"/>
        <w:spacing w:before="240" w:after="120"/>
        <w:rPr/>
      </w:pPr>
      <w:r>
        <w:rPr/>
        <w:t>Esercitazione per competenze classe seconda</w:t>
      </w:r>
    </w:p>
    <w:p>
      <w:pPr>
        <w:pStyle w:val="Para"/>
        <w:rPr/>
      </w:pPr>
      <w:r>
        <w:rPr>
          <w:rStyle w:val="Testoprincipaletestobold"/>
          <w:b/>
          <w:szCs w:val="24"/>
          <w:lang w:val="it-IT"/>
        </w:rPr>
        <w:t>Competenze da certificare al termine del biennio</w:t>
      </w:r>
    </w:p>
    <w:p>
      <w:pPr>
        <w:pStyle w:val="Elenco"/>
        <w:tabs>
          <w:tab w:val="clear" w:pos="567"/>
        </w:tabs>
        <w:ind w:left="284" w:hanging="284"/>
        <w:rPr/>
      </w:pPr>
      <w:r>
        <w:rPr>
          <w:rFonts w:cs="Wingdings" w:ascii="Wingdings" w:hAnsi="Wingdings"/>
          <w:lang w:val="it-IT"/>
        </w:rPr>
        <w:t></w:t>
      </w:r>
      <w:r>
        <w:rPr>
          <w:rFonts w:cs="Wingdings" w:ascii="Wingdings" w:hAnsi="Wingdings"/>
          <w:lang w:val="it-IT"/>
        </w:rPr>
        <w:tab/>
      </w:r>
      <w:r>
        <w:rPr>
          <w:lang w:val="it-IT"/>
        </w:rPr>
        <w:t>Riconoscere le caratteristiche essenziali del sistema socio-economico per orientarsi nel tessuto produttivo del proprio territorio</w:t>
      </w:r>
    </w:p>
    <w:p>
      <w:pPr>
        <w:pStyle w:val="Elenco"/>
        <w:tabs>
          <w:tab w:val="clear" w:pos="567"/>
        </w:tabs>
        <w:ind w:left="284" w:hanging="284"/>
        <w:rPr/>
      </w:pPr>
      <w:r>
        <w:rPr>
          <w:rFonts w:cs="Wingdings" w:ascii="Wingdings" w:hAnsi="Wingdings"/>
          <w:lang w:val="it-IT"/>
        </w:rPr>
        <w:t></w:t>
      </w:r>
      <w:r>
        <w:rPr>
          <w:rFonts w:cs="Wingdings" w:ascii="Wingdings" w:hAnsi="Wingdings"/>
          <w:lang w:val="it-IT"/>
        </w:rPr>
        <w:tab/>
      </w:r>
      <w:r>
        <w:rPr>
          <w:lang w:val="it-IT"/>
        </w:rPr>
        <w:t>Individuare le strategie appropriate per la soluzione di problemi</w:t>
      </w:r>
    </w:p>
    <w:p>
      <w:pPr>
        <w:pStyle w:val="Elenco"/>
        <w:tabs>
          <w:tab w:val="clear" w:pos="567"/>
        </w:tabs>
        <w:ind w:left="284" w:hanging="284"/>
        <w:rPr/>
      </w:pPr>
      <w:r>
        <w:rPr>
          <w:rFonts w:cs="Wingdings" w:ascii="Wingdings" w:hAnsi="Wingdings"/>
          <w:lang w:val="it-IT"/>
        </w:rPr>
        <w:t></w:t>
      </w:r>
      <w:r>
        <w:rPr>
          <w:rFonts w:cs="Wingdings" w:ascii="Wingdings" w:hAnsi="Wingdings"/>
          <w:lang w:val="it-IT"/>
        </w:rPr>
        <w:tab/>
      </w:r>
      <w:r>
        <w:rPr>
          <w:lang w:val="it-IT"/>
        </w:rPr>
        <w:t>Collocare l’esperienza personale in un sistema di regole fondato sul reciproco riconoscimento dei diritti garantiti dalla Costituzione, a tutela della persona, della collettività e dell’ambiente</w:t>
      </w:r>
    </w:p>
    <w:p>
      <w:pPr>
        <w:pStyle w:val="Para"/>
        <w:rPr/>
      </w:pPr>
      <w:r>
        <w:rPr>
          <w:lang w:val="it-IT"/>
        </w:rPr>
        <w:t>Per raggiungere tali competenze è necessario possedere, tra le altre, le seguenti conoscenze</w:t>
      </w:r>
    </w:p>
    <w:p>
      <w:pPr>
        <w:pStyle w:val="Para"/>
        <w:rPr>
          <w:lang w:val="it-IT"/>
        </w:rPr>
      </w:pPr>
      <w:r>
        <w:rPr>
          <w:lang w:val="it-IT"/>
        </w:rPr>
        <w:t>e abilità.</w:t>
      </w:r>
    </w:p>
    <w:p>
      <w:pPr>
        <w:pStyle w:val="Para"/>
        <w:rPr>
          <w:b/>
          <w:b/>
        </w:rPr>
      </w:pPr>
      <w:r>
        <w:rPr>
          <w:rStyle w:val="Testoprincipaletestobold"/>
          <w:b/>
        </w:rPr>
        <w:t>Conoscenze</w:t>
      </w:r>
    </w:p>
    <w:p>
      <w:pPr>
        <w:pStyle w:val="Elenco"/>
        <w:tabs>
          <w:tab w:val="clear" w:pos="567"/>
        </w:tabs>
        <w:ind w:left="360" w:hanging="360"/>
        <w:rPr/>
      </w:pPr>
      <w:r>
        <w:rPr>
          <w:rFonts w:cs="Wingdings" w:ascii="Wingdings" w:hAnsi="Wingdings"/>
          <w:lang w:val="it-IT"/>
        </w:rPr>
        <w:t></w:t>
      </w:r>
      <w:r>
        <w:rPr>
          <w:rFonts w:cs="Wingdings" w:ascii="Wingdings" w:hAnsi="Wingdings"/>
          <w:lang w:val="it-IT"/>
        </w:rPr>
        <w:tab/>
      </w:r>
      <w:r>
        <w:rPr>
          <w:lang w:val="it-IT"/>
        </w:rPr>
        <w:t>Azienda come sistema</w:t>
      </w:r>
    </w:p>
    <w:p>
      <w:pPr>
        <w:pStyle w:val="Elenco"/>
        <w:tabs>
          <w:tab w:val="clear" w:pos="567"/>
        </w:tabs>
        <w:ind w:left="360" w:hanging="360"/>
        <w:rPr/>
      </w:pPr>
      <w:r>
        <w:rPr>
          <w:rFonts w:cs="Wingdings" w:ascii="Wingdings" w:hAnsi="Wingdings"/>
          <w:lang w:val="it-IT"/>
        </w:rPr>
        <w:t></w:t>
      </w:r>
      <w:r>
        <w:rPr>
          <w:rFonts w:cs="Wingdings" w:ascii="Wingdings" w:hAnsi="Wingdings"/>
          <w:lang w:val="it-IT"/>
        </w:rPr>
        <w:tab/>
      </w:r>
      <w:r>
        <w:rPr>
          <w:lang w:val="it-IT"/>
        </w:rPr>
        <w:t>Tipologie di aziende e caratteristiche della loro gestione</w:t>
      </w:r>
    </w:p>
    <w:p>
      <w:pPr>
        <w:pStyle w:val="Elenco"/>
        <w:tabs>
          <w:tab w:val="clear" w:pos="567"/>
        </w:tabs>
        <w:ind w:left="360" w:hanging="360"/>
        <w:rPr/>
      </w:pPr>
      <w:r>
        <w:rPr>
          <w:rFonts w:cs="Wingdings" w:ascii="Wingdings" w:hAnsi="Wingdings"/>
          <w:lang w:val="it-IT"/>
        </w:rPr>
        <w:t></w:t>
      </w:r>
      <w:r>
        <w:rPr>
          <w:rFonts w:cs="Wingdings" w:ascii="Wingdings" w:hAnsi="Wingdings"/>
          <w:lang w:val="it-IT"/>
        </w:rPr>
        <w:tab/>
      </w:r>
      <w:r>
        <w:rPr>
          <w:lang w:val="it-IT"/>
        </w:rPr>
        <w:t>Elementi del sistema azienda</w:t>
      </w:r>
    </w:p>
    <w:p>
      <w:pPr>
        <w:pStyle w:val="Elenco"/>
        <w:tabs>
          <w:tab w:val="clear" w:pos="567"/>
        </w:tabs>
        <w:ind w:left="360" w:hanging="360"/>
        <w:rPr/>
      </w:pPr>
      <w:r>
        <w:rPr>
          <w:rFonts w:cs="Wingdings" w:ascii="Wingdings" w:hAnsi="Wingdings"/>
          <w:lang w:val="it-IT"/>
        </w:rPr>
        <w:t></w:t>
      </w:r>
      <w:r>
        <w:rPr>
          <w:rFonts w:cs="Wingdings" w:ascii="Wingdings" w:hAnsi="Wingdings"/>
          <w:lang w:val="it-IT"/>
        </w:rPr>
        <w:tab/>
      </w:r>
      <w:r>
        <w:rPr>
          <w:lang w:val="it-IT"/>
        </w:rPr>
        <w:t>Quadro generale delle funzioni aziendali</w:t>
      </w:r>
    </w:p>
    <w:p>
      <w:pPr>
        <w:pStyle w:val="Elenco"/>
        <w:tabs>
          <w:tab w:val="clear" w:pos="567"/>
        </w:tabs>
        <w:ind w:left="360" w:hanging="360"/>
        <w:rPr/>
      </w:pPr>
      <w:r>
        <w:rPr>
          <w:rFonts w:cs="Wingdings" w:ascii="Wingdings" w:hAnsi="Wingdings"/>
          <w:lang w:val="it-IT"/>
        </w:rPr>
        <w:t></w:t>
      </w:r>
      <w:r>
        <w:rPr>
          <w:rFonts w:cs="Wingdings" w:ascii="Wingdings" w:hAnsi="Wingdings"/>
          <w:lang w:val="it-IT"/>
        </w:rPr>
        <w:tab/>
      </w:r>
      <w:r>
        <w:rPr>
          <w:lang w:val="it-IT"/>
        </w:rPr>
        <w:t>Quadro generale della gestione aziendale, delle rilevazioni e degli schemi di bilancio</w:t>
      </w:r>
    </w:p>
    <w:p>
      <w:pPr>
        <w:pStyle w:val="Elenco"/>
        <w:tabs>
          <w:tab w:val="clear" w:pos="567"/>
        </w:tabs>
        <w:ind w:left="360" w:hanging="360"/>
        <w:rPr/>
      </w:pPr>
      <w:r>
        <w:rPr>
          <w:rFonts w:cs="Wingdings" w:ascii="Wingdings" w:hAnsi="Wingdings"/>
          <w:lang w:val="it-IT"/>
        </w:rPr>
        <w:t></w:t>
      </w:r>
      <w:r>
        <w:rPr>
          <w:rFonts w:cs="Wingdings" w:ascii="Wingdings" w:hAnsi="Wingdings"/>
          <w:lang w:val="it-IT"/>
        </w:rPr>
        <w:tab/>
      </w:r>
      <w:r>
        <w:rPr>
          <w:lang w:val="it-IT"/>
        </w:rPr>
        <w:t>Settori in cui si articolano le attività economiche</w:t>
      </w:r>
    </w:p>
    <w:p>
      <w:pPr>
        <w:pStyle w:val="Elenco"/>
        <w:tabs>
          <w:tab w:val="clear" w:pos="567"/>
        </w:tabs>
        <w:ind w:left="360" w:hanging="360"/>
        <w:rPr/>
      </w:pPr>
      <w:r>
        <w:rPr>
          <w:rFonts w:cs="Wingdings" w:ascii="Wingdings" w:hAnsi="Wingdings"/>
          <w:lang w:val="it-IT"/>
        </w:rPr>
        <w:t></w:t>
      </w:r>
      <w:r>
        <w:rPr>
          <w:rFonts w:cs="Wingdings" w:ascii="Wingdings" w:hAnsi="Wingdings"/>
          <w:lang w:val="it-IT"/>
        </w:rPr>
        <w:tab/>
      </w:r>
      <w:r>
        <w:rPr>
          <w:lang w:val="it-IT"/>
        </w:rPr>
        <w:t>Processi di localizzazione delle aziende</w:t>
      </w:r>
    </w:p>
    <w:p>
      <w:pPr>
        <w:pStyle w:val="Elenco"/>
        <w:tabs>
          <w:tab w:val="clear" w:pos="567"/>
        </w:tabs>
        <w:ind w:left="360" w:hanging="360"/>
        <w:rPr/>
      </w:pPr>
      <w:r>
        <w:rPr>
          <w:rFonts w:cs="Wingdings" w:ascii="Wingdings" w:hAnsi="Wingdings"/>
          <w:lang w:val="it-IT"/>
        </w:rPr>
        <w:t></w:t>
      </w:r>
      <w:r>
        <w:rPr>
          <w:rFonts w:cs="Wingdings" w:ascii="Wingdings" w:hAnsi="Wingdings"/>
          <w:lang w:val="it-IT"/>
        </w:rPr>
        <w:tab/>
      </w:r>
      <w:r>
        <w:rPr>
          <w:lang w:val="it-IT"/>
        </w:rPr>
        <w:t>Tecniche di calcolo nei documenti della compravendita</w:t>
      </w:r>
    </w:p>
    <w:p>
      <w:pPr>
        <w:pStyle w:val="Elenco"/>
        <w:tabs>
          <w:tab w:val="clear" w:pos="567"/>
        </w:tabs>
        <w:ind w:left="360" w:hanging="360"/>
        <w:rPr/>
      </w:pPr>
      <w:r>
        <w:rPr>
          <w:rFonts w:cs="Wingdings" w:ascii="Wingdings" w:hAnsi="Wingdings"/>
          <w:lang w:val="it-IT"/>
        </w:rPr>
        <w:t></w:t>
      </w:r>
      <w:r>
        <w:rPr>
          <w:rFonts w:cs="Wingdings" w:ascii="Wingdings" w:hAnsi="Wingdings"/>
          <w:lang w:val="it-IT"/>
        </w:rPr>
        <w:tab/>
      </w:r>
      <w:r>
        <w:rPr>
          <w:lang w:val="it-IT"/>
        </w:rPr>
        <w:t>Documenti di regolamento degli scambi e loro tipologie</w:t>
      </w:r>
    </w:p>
    <w:p>
      <w:pPr>
        <w:pStyle w:val="Elenco"/>
        <w:tabs>
          <w:tab w:val="clear" w:pos="567"/>
        </w:tabs>
        <w:ind w:left="360" w:hanging="360"/>
        <w:rPr/>
      </w:pPr>
      <w:r>
        <w:rPr>
          <w:rFonts w:cs="Wingdings" w:ascii="Wingdings" w:hAnsi="Wingdings"/>
          <w:lang w:val="it-IT"/>
        </w:rPr>
        <w:t></w:t>
      </w:r>
      <w:r>
        <w:rPr>
          <w:rFonts w:cs="Wingdings" w:ascii="Wingdings" w:hAnsi="Wingdings"/>
          <w:lang w:val="it-IT"/>
        </w:rPr>
        <w:tab/>
      </w:r>
      <w:r>
        <w:rPr>
          <w:lang w:val="it-IT"/>
        </w:rPr>
        <w:t>Tecniche di calcolo nei documenti di regolamento degli scambi</w:t>
      </w:r>
    </w:p>
    <w:p>
      <w:pPr>
        <w:pStyle w:val="Para"/>
        <w:rPr>
          <w:b/>
          <w:b/>
          <w:lang w:val="it-IT"/>
        </w:rPr>
      </w:pPr>
      <w:r>
        <w:rPr>
          <w:rStyle w:val="Testoprincipaletestobold"/>
          <w:b/>
          <w:szCs w:val="24"/>
          <w:lang w:val="it-IT"/>
        </w:rPr>
        <w:t>Abilità</w:t>
      </w:r>
    </w:p>
    <w:p>
      <w:pPr>
        <w:pStyle w:val="Elenco"/>
        <w:tabs>
          <w:tab w:val="clear" w:pos="567"/>
          <w:tab w:val="left" w:pos="0" w:leader="none"/>
        </w:tabs>
        <w:ind w:left="284" w:hanging="284"/>
        <w:rPr/>
      </w:pPr>
      <w:r>
        <w:rPr>
          <w:rFonts w:cs="Wingdings" w:ascii="Wingdings" w:hAnsi="Wingdings"/>
          <w:lang w:val="it-IT"/>
        </w:rPr>
        <w:t></w:t>
      </w:r>
      <w:r>
        <w:rPr>
          <w:rFonts w:cs="Wingdings" w:ascii="Wingdings" w:hAnsi="Wingdings"/>
          <w:lang w:val="it-IT"/>
        </w:rPr>
        <w:tab/>
      </w:r>
      <w:r>
        <w:rPr>
          <w:lang w:val="it-IT"/>
        </w:rPr>
        <w:t>Riconoscere le tipologie di azienda e la struttura elementare che le connota</w:t>
      </w:r>
    </w:p>
    <w:p>
      <w:pPr>
        <w:pStyle w:val="Elenco"/>
        <w:tabs>
          <w:tab w:val="clear" w:pos="567"/>
          <w:tab w:val="left" w:pos="0" w:leader="none"/>
        </w:tabs>
        <w:ind w:left="284" w:hanging="284"/>
        <w:rPr/>
      </w:pPr>
      <w:r>
        <w:rPr>
          <w:rFonts w:cs="Wingdings" w:ascii="Wingdings" w:hAnsi="Wingdings"/>
          <w:lang w:val="it-IT"/>
        </w:rPr>
        <w:t></w:t>
      </w:r>
      <w:r>
        <w:rPr>
          <w:rFonts w:cs="Wingdings" w:ascii="Wingdings" w:hAnsi="Wingdings"/>
          <w:lang w:val="it-IT"/>
        </w:rPr>
        <w:tab/>
      </w:r>
      <w:r>
        <w:rPr>
          <w:lang w:val="it-IT"/>
        </w:rPr>
        <w:t>Riconoscere la funzione economica delle diverse tipologie di aziende</w:t>
      </w:r>
    </w:p>
    <w:p>
      <w:pPr>
        <w:pStyle w:val="Elenco"/>
        <w:tabs>
          <w:tab w:val="clear" w:pos="567"/>
          <w:tab w:val="left" w:pos="0" w:leader="none"/>
        </w:tabs>
        <w:ind w:left="284" w:hanging="284"/>
        <w:rPr/>
      </w:pPr>
      <w:r>
        <w:rPr>
          <w:rFonts w:cs="Wingdings" w:ascii="Wingdings" w:hAnsi="Wingdings"/>
          <w:lang w:val="it-IT"/>
        </w:rPr>
        <w:t></w:t>
      </w:r>
      <w:r>
        <w:rPr>
          <w:rFonts w:cs="Wingdings" w:ascii="Wingdings" w:hAnsi="Wingdings"/>
          <w:lang w:val="it-IT"/>
        </w:rPr>
        <w:tab/>
      </w:r>
      <w:r>
        <w:rPr>
          <w:lang w:val="it-IT"/>
        </w:rPr>
        <w:t>Individuare le varie funzioni aziendali e descriverne le caratteristiche</w:t>
      </w:r>
    </w:p>
    <w:p>
      <w:pPr>
        <w:pStyle w:val="Elenco"/>
        <w:tabs>
          <w:tab w:val="clear" w:pos="567"/>
          <w:tab w:val="left" w:pos="0" w:leader="none"/>
        </w:tabs>
        <w:ind w:left="284" w:hanging="284"/>
        <w:rPr/>
      </w:pPr>
      <w:r>
        <w:rPr>
          <w:rFonts w:cs="Wingdings" w:ascii="Wingdings" w:hAnsi="Wingdings"/>
          <w:lang w:val="it-IT"/>
        </w:rPr>
        <w:t></w:t>
      </w:r>
      <w:r>
        <w:rPr>
          <w:rFonts w:cs="Wingdings" w:ascii="Wingdings" w:hAnsi="Wingdings"/>
          <w:lang w:val="it-IT"/>
        </w:rPr>
        <w:tab/>
      </w:r>
      <w:r>
        <w:rPr>
          <w:lang w:val="it-IT"/>
        </w:rPr>
        <w:t>Distinguere le finalità delle rilevazioni aziendali e individuare, nelle linee generali, i risultati prodotti dalla gestione attraverso la lettura degli schemi contabili di bilancio</w:t>
      </w:r>
    </w:p>
    <w:p>
      <w:pPr>
        <w:pStyle w:val="Elenco"/>
        <w:tabs>
          <w:tab w:val="clear" w:pos="567"/>
          <w:tab w:val="left" w:pos="0" w:leader="none"/>
        </w:tabs>
        <w:ind w:left="284" w:hanging="284"/>
        <w:rPr/>
      </w:pPr>
      <w:r>
        <w:rPr>
          <w:rFonts w:cs="Wingdings" w:ascii="Wingdings" w:hAnsi="Wingdings"/>
          <w:lang w:val="it-IT"/>
        </w:rPr>
        <w:t></w:t>
      </w:r>
      <w:r>
        <w:rPr>
          <w:rFonts w:cs="Wingdings" w:ascii="Wingdings" w:hAnsi="Wingdings"/>
          <w:lang w:val="it-IT"/>
        </w:rPr>
        <w:tab/>
      </w:r>
      <w:r>
        <w:rPr>
          <w:lang w:val="it-IT"/>
        </w:rPr>
        <w:t>Riconoscere i principali settori in cui sono organizzate le attività economiche</w:t>
      </w:r>
    </w:p>
    <w:p>
      <w:pPr>
        <w:pStyle w:val="Elenco"/>
        <w:tabs>
          <w:tab w:val="clear" w:pos="567"/>
          <w:tab w:val="left" w:pos="0" w:leader="none"/>
        </w:tabs>
        <w:ind w:left="284" w:hanging="284"/>
        <w:rPr>
          <w:lang w:val="it-IT"/>
        </w:rPr>
      </w:pPr>
      <w:r>
        <w:rPr>
          <w:rFonts w:cs="Wingdings" w:ascii="Wingdings" w:hAnsi="Wingdings"/>
          <w:lang w:val="it-IT"/>
        </w:rPr>
        <w:t></w:t>
      </w:r>
      <w:r>
        <w:rPr>
          <w:rFonts w:cs="Wingdings" w:ascii="Wingdings" w:hAnsi="Wingdings"/>
          <w:lang w:val="it-IT"/>
        </w:rPr>
        <w:tab/>
      </w:r>
      <w:r>
        <w:rPr>
          <w:lang w:val="it-IT"/>
        </w:rPr>
        <w:t>Individuare le esigenze fondamentali che ispirano le scelte nella localizzazione delle aziende</w:t>
      </w:r>
    </w:p>
    <w:p>
      <w:pPr>
        <w:pStyle w:val="Elenco"/>
        <w:tabs>
          <w:tab w:val="clear" w:pos="567"/>
          <w:tab w:val="left" w:pos="0" w:leader="none"/>
        </w:tabs>
        <w:ind w:left="284" w:hanging="0"/>
        <w:rPr>
          <w:b/>
          <w:b/>
          <w:lang w:val="it-IT"/>
        </w:rPr>
      </w:pPr>
      <w:r>
        <w:rPr>
          <w:rStyle w:val="Testoprincipaletestobold"/>
          <w:b/>
          <w:szCs w:val="24"/>
          <w:lang w:val="it-IT"/>
        </w:rPr>
        <w:t>La signora Maria Grusi e i signori Bruno Mantovani e Alessandro Nadiani decidono di costituire la Info Tech S.n.c. di Grusi, Mantovani e Nadiani per la vendita di hardware e software e per la fornitura di servizi informatici. La signora Grusi apporta 10.000 euro sul conto corrente intestato alla società, Mantovani vi apporta 8.000 euro e Nadiani 5.000 euro.Al termine della ricerca del locale dove svolgere le attività, i tre soci sono arrivati a selezionare le due seguenti alternative:</w:t>
      </w:r>
    </w:p>
    <w:p>
      <w:pPr>
        <w:pStyle w:val="Elenco"/>
        <w:ind w:left="567" w:hanging="283"/>
        <w:rPr/>
      </w:pPr>
      <w:r>
        <w:rPr>
          <w:rFonts w:cs="Wingdings" w:ascii="Wingdings" w:hAnsi="Wingdings"/>
          <w:lang w:val="it-IT"/>
        </w:rPr>
        <w:t></w:t>
      </w:r>
      <w:r>
        <w:rPr>
          <w:rFonts w:cs="Wingdings" w:ascii="Wingdings" w:hAnsi="Wingdings"/>
          <w:lang w:val="it-IT"/>
        </w:rPr>
        <w:tab/>
      </w:r>
      <w:r>
        <w:rPr>
          <w:lang w:val="it-IT"/>
        </w:rPr>
        <w:t>negozio di piccole dimensioni, situato in zona centrale, il cui canone di locazione mensile ammonta a 2.500 euro; per il deposito dei materiali è possibile affittare un piccolo magazzino poco distante al canone annuo di 9.600 euro;</w:t>
      </w:r>
    </w:p>
    <w:p>
      <w:pPr>
        <w:pStyle w:val="Elenco"/>
        <w:tabs>
          <w:tab w:val="clear" w:pos="567"/>
        </w:tabs>
        <w:ind w:left="567" w:hanging="283"/>
        <w:rPr/>
      </w:pPr>
      <w:r>
        <w:rPr>
          <w:rFonts w:cs="Wingdings" w:ascii="Wingdings" w:hAnsi="Wingdings"/>
          <w:lang w:val="it-IT"/>
        </w:rPr>
        <w:t></w:t>
      </w:r>
      <w:r>
        <w:rPr>
          <w:rFonts w:cs="Wingdings" w:ascii="Wingdings" w:hAnsi="Wingdings"/>
          <w:lang w:val="it-IT"/>
        </w:rPr>
        <w:tab/>
      </w:r>
      <w:r>
        <w:rPr>
          <w:lang w:val="it-IT"/>
        </w:rPr>
        <w:t>negozio di medie dimensioni, situato in zona semicentrale, il cui canone annuo di affitto è pari a 45.500 euro; rispetto all’affitto del piccolo negozio si stimano maggiori costi pubblicitari da sostenere nel primo anno di attività per un totale di 700 euro.</w:t>
      </w:r>
    </w:p>
    <w:p>
      <w:pPr>
        <w:pStyle w:val="Para"/>
        <w:rPr/>
      </w:pPr>
      <w:r>
        <w:rPr>
          <w:rStyle w:val="Testoprincipaletestobold"/>
          <w:b/>
          <w:szCs w:val="24"/>
          <w:lang w:val="it-IT"/>
        </w:rPr>
        <w:t>Alla fine del primo esercizio amministrativo il patrimonio della società è formato dai seguenti elementi elencati in ordine sparso:</w:t>
      </w:r>
    </w:p>
    <w:tbl>
      <w:tblPr>
        <w:tblW w:w="9242" w:type="dxa"/>
        <w:jc w:val="left"/>
        <w:tblInd w:w="-108" w:type="dxa"/>
        <w:tblLayout w:type="fixed"/>
        <w:tblCellMar>
          <w:top w:w="0" w:type="dxa"/>
          <w:left w:w="108" w:type="dxa"/>
          <w:bottom w:w="0" w:type="dxa"/>
          <w:right w:w="108" w:type="dxa"/>
        </w:tblCellMar>
      </w:tblPr>
      <w:tblGrid>
        <w:gridCol w:w="2376"/>
        <w:gridCol w:w="1276"/>
        <w:gridCol w:w="992"/>
        <w:gridCol w:w="2977"/>
        <w:gridCol w:w="567"/>
        <w:gridCol w:w="1054"/>
      </w:tblGrid>
      <w:tr>
        <w:trPr/>
        <w:tc>
          <w:tcPr>
            <w:tcW w:w="2376" w:type="dxa"/>
            <w:tcBorders/>
          </w:tcPr>
          <w:p>
            <w:pPr>
              <w:pStyle w:val="TableBody"/>
              <w:spacing w:before="0" w:after="60"/>
              <w:rPr>
                <w:lang w:val="it-IT"/>
              </w:rPr>
            </w:pPr>
            <w:r>
              <w:rPr/>
              <w:t>Macchine d’ufficio</w:t>
            </w:r>
          </w:p>
        </w:tc>
        <w:tc>
          <w:tcPr>
            <w:tcW w:w="1276" w:type="dxa"/>
            <w:tcBorders/>
          </w:tcPr>
          <w:p>
            <w:pPr>
              <w:pStyle w:val="TableBody"/>
              <w:spacing w:before="0" w:after="60"/>
              <w:rPr>
                <w:lang w:val="it-IT"/>
              </w:rPr>
            </w:pPr>
            <w:r>
              <w:rPr/>
              <w:t>€</w:t>
            </w:r>
          </w:p>
        </w:tc>
        <w:tc>
          <w:tcPr>
            <w:tcW w:w="992" w:type="dxa"/>
            <w:tcBorders/>
          </w:tcPr>
          <w:p>
            <w:pPr>
              <w:pStyle w:val="TableBody"/>
              <w:spacing w:before="0" w:after="60"/>
              <w:rPr/>
            </w:pPr>
            <w:r>
              <w:rPr/>
              <w:t>9.400</w:t>
            </w:r>
          </w:p>
        </w:tc>
        <w:tc>
          <w:tcPr>
            <w:tcW w:w="2977" w:type="dxa"/>
            <w:tcBorders/>
          </w:tcPr>
          <w:p>
            <w:pPr>
              <w:pStyle w:val="TableBody"/>
              <w:spacing w:before="0" w:after="60"/>
              <w:rPr>
                <w:lang w:val="it-IT"/>
              </w:rPr>
            </w:pPr>
            <w:r>
              <w:rPr/>
              <w:t>Merci in magazzino</w:t>
            </w:r>
          </w:p>
        </w:tc>
        <w:tc>
          <w:tcPr>
            <w:tcW w:w="567" w:type="dxa"/>
            <w:tcBorders/>
          </w:tcPr>
          <w:p>
            <w:pPr>
              <w:pStyle w:val="TableBody"/>
              <w:spacing w:before="0" w:after="60"/>
              <w:rPr>
                <w:lang w:val="it-IT"/>
              </w:rPr>
            </w:pPr>
            <w:r>
              <w:rPr/>
              <w:t>€</w:t>
            </w:r>
          </w:p>
        </w:tc>
        <w:tc>
          <w:tcPr>
            <w:tcW w:w="1054" w:type="dxa"/>
            <w:tcBorders/>
          </w:tcPr>
          <w:p>
            <w:pPr>
              <w:pStyle w:val="TableBody"/>
              <w:spacing w:before="0" w:after="60"/>
              <w:rPr/>
            </w:pPr>
            <w:r>
              <w:rPr/>
              <w:t>18.500</w:t>
            </w:r>
          </w:p>
        </w:tc>
      </w:tr>
      <w:tr>
        <w:trPr/>
        <w:tc>
          <w:tcPr>
            <w:tcW w:w="2376" w:type="dxa"/>
            <w:tcBorders/>
          </w:tcPr>
          <w:p>
            <w:pPr>
              <w:pStyle w:val="TableBody"/>
              <w:spacing w:before="0" w:after="60"/>
              <w:rPr/>
            </w:pPr>
            <w:r>
              <w:rPr/>
              <w:t>Debiti v/fornitori</w:t>
            </w:r>
          </w:p>
        </w:tc>
        <w:tc>
          <w:tcPr>
            <w:tcW w:w="1276" w:type="dxa"/>
            <w:tcBorders/>
          </w:tcPr>
          <w:p>
            <w:pPr>
              <w:pStyle w:val="TableBody"/>
              <w:spacing w:before="0" w:after="60"/>
              <w:rPr>
                <w:lang w:val="it-IT"/>
              </w:rPr>
            </w:pPr>
            <w:r>
              <w:rPr/>
              <w:t>€</w:t>
            </w:r>
          </w:p>
        </w:tc>
        <w:tc>
          <w:tcPr>
            <w:tcW w:w="992" w:type="dxa"/>
            <w:tcBorders/>
          </w:tcPr>
          <w:p>
            <w:pPr>
              <w:pStyle w:val="TableBody"/>
              <w:spacing w:before="0" w:after="60"/>
              <w:rPr>
                <w:lang w:val="it-IT"/>
              </w:rPr>
            </w:pPr>
            <w:r>
              <w:rPr/>
              <w:t>20.000</w:t>
            </w:r>
          </w:p>
        </w:tc>
        <w:tc>
          <w:tcPr>
            <w:tcW w:w="2977" w:type="dxa"/>
            <w:tcBorders/>
          </w:tcPr>
          <w:p>
            <w:pPr>
              <w:pStyle w:val="TableBody"/>
              <w:spacing w:before="0" w:after="60"/>
              <w:rPr>
                <w:lang w:val="it-IT"/>
              </w:rPr>
            </w:pPr>
            <w:r>
              <w:rPr/>
              <w:t>Prestiti bancari a breve scadenza</w:t>
            </w:r>
          </w:p>
        </w:tc>
        <w:tc>
          <w:tcPr>
            <w:tcW w:w="567" w:type="dxa"/>
            <w:tcBorders/>
          </w:tcPr>
          <w:p>
            <w:pPr>
              <w:pStyle w:val="TableBody"/>
              <w:spacing w:before="0" w:after="60"/>
              <w:rPr>
                <w:lang w:val="it-IT"/>
              </w:rPr>
            </w:pPr>
            <w:r>
              <w:rPr/>
              <w:t>€</w:t>
            </w:r>
          </w:p>
        </w:tc>
        <w:tc>
          <w:tcPr>
            <w:tcW w:w="1054" w:type="dxa"/>
            <w:tcBorders/>
          </w:tcPr>
          <w:p>
            <w:pPr>
              <w:pStyle w:val="TableBody"/>
              <w:spacing w:before="0" w:after="60"/>
              <w:rPr>
                <w:lang w:val="it-IT"/>
              </w:rPr>
            </w:pPr>
            <w:r>
              <w:rPr/>
              <w:t>30.000</w:t>
            </w:r>
          </w:p>
        </w:tc>
      </w:tr>
      <w:tr>
        <w:trPr/>
        <w:tc>
          <w:tcPr>
            <w:tcW w:w="2376" w:type="dxa"/>
            <w:tcBorders/>
          </w:tcPr>
          <w:p>
            <w:pPr>
              <w:pStyle w:val="TableBody"/>
              <w:spacing w:before="0" w:after="60"/>
              <w:rPr>
                <w:lang w:val="it-IT"/>
              </w:rPr>
            </w:pPr>
            <w:r>
              <w:rPr/>
              <w:t>Mobili</w:t>
            </w:r>
          </w:p>
        </w:tc>
        <w:tc>
          <w:tcPr>
            <w:tcW w:w="1276" w:type="dxa"/>
            <w:tcBorders/>
          </w:tcPr>
          <w:p>
            <w:pPr>
              <w:pStyle w:val="TableBody"/>
              <w:spacing w:before="0" w:after="60"/>
              <w:rPr>
                <w:lang w:val="it-IT"/>
              </w:rPr>
            </w:pPr>
            <w:r>
              <w:rPr/>
              <w:t>€</w:t>
            </w:r>
          </w:p>
        </w:tc>
        <w:tc>
          <w:tcPr>
            <w:tcW w:w="992" w:type="dxa"/>
            <w:tcBorders/>
          </w:tcPr>
          <w:p>
            <w:pPr>
              <w:pStyle w:val="TableBody"/>
              <w:spacing w:before="0" w:after="60"/>
              <w:rPr>
                <w:lang w:val="it-IT"/>
              </w:rPr>
            </w:pPr>
            <w:r>
              <w:rPr/>
              <w:t>3.600</w:t>
            </w:r>
          </w:p>
        </w:tc>
        <w:tc>
          <w:tcPr>
            <w:tcW w:w="2977" w:type="dxa"/>
            <w:tcBorders/>
          </w:tcPr>
          <w:p>
            <w:pPr>
              <w:pStyle w:val="TableBody"/>
              <w:spacing w:before="0" w:after="60"/>
              <w:rPr>
                <w:lang w:val="it-IT"/>
              </w:rPr>
            </w:pPr>
            <w:r>
              <w:rPr/>
              <w:t>Depositi bancari in c/</w:t>
            </w:r>
          </w:p>
        </w:tc>
        <w:tc>
          <w:tcPr>
            <w:tcW w:w="567" w:type="dxa"/>
            <w:tcBorders/>
          </w:tcPr>
          <w:p>
            <w:pPr>
              <w:pStyle w:val="TableBody"/>
              <w:spacing w:before="0" w:after="60"/>
              <w:rPr>
                <w:lang w:val="it-IT"/>
              </w:rPr>
            </w:pPr>
            <w:r>
              <w:rPr/>
              <w:t>€</w:t>
            </w:r>
          </w:p>
        </w:tc>
        <w:tc>
          <w:tcPr>
            <w:tcW w:w="1054" w:type="dxa"/>
            <w:tcBorders/>
          </w:tcPr>
          <w:p>
            <w:pPr>
              <w:pStyle w:val="TableBody"/>
              <w:spacing w:before="0" w:after="60"/>
              <w:rPr/>
            </w:pPr>
            <w:r>
              <w:rPr/>
              <w:t>2.469</w:t>
            </w:r>
          </w:p>
        </w:tc>
      </w:tr>
      <w:tr>
        <w:trPr/>
        <w:tc>
          <w:tcPr>
            <w:tcW w:w="2376" w:type="dxa"/>
            <w:tcBorders/>
          </w:tcPr>
          <w:p>
            <w:pPr>
              <w:pStyle w:val="TableBody"/>
              <w:spacing w:before="0" w:after="60"/>
              <w:rPr>
                <w:lang w:val="it-IT"/>
              </w:rPr>
            </w:pPr>
            <w:r>
              <w:rPr/>
              <w:t>Attrezzature commerciali</w:t>
            </w:r>
          </w:p>
        </w:tc>
        <w:tc>
          <w:tcPr>
            <w:tcW w:w="1276" w:type="dxa"/>
            <w:tcBorders/>
          </w:tcPr>
          <w:p>
            <w:pPr>
              <w:pStyle w:val="TableBody"/>
              <w:spacing w:before="0" w:after="60"/>
              <w:rPr>
                <w:lang w:val="it-IT"/>
              </w:rPr>
            </w:pPr>
            <w:r>
              <w:rPr/>
              <w:t>€</w:t>
            </w:r>
          </w:p>
        </w:tc>
        <w:tc>
          <w:tcPr>
            <w:tcW w:w="992" w:type="dxa"/>
            <w:tcBorders/>
          </w:tcPr>
          <w:p>
            <w:pPr>
              <w:pStyle w:val="TableBody"/>
              <w:spacing w:before="0" w:after="60"/>
              <w:rPr>
                <w:lang w:val="it-IT"/>
              </w:rPr>
            </w:pPr>
            <w:r>
              <w:rPr/>
              <w:t>12.000</w:t>
            </w:r>
          </w:p>
        </w:tc>
        <w:tc>
          <w:tcPr>
            <w:tcW w:w="2977" w:type="dxa"/>
            <w:tcBorders/>
          </w:tcPr>
          <w:p>
            <w:pPr>
              <w:pStyle w:val="TableBody"/>
              <w:snapToGrid w:val="false"/>
              <w:spacing w:before="0" w:after="60"/>
              <w:rPr>
                <w:lang w:val="it-IT"/>
              </w:rPr>
            </w:pPr>
            <w:r>
              <w:rPr>
                <w:lang w:val="it-IT"/>
              </w:rPr>
            </w:r>
          </w:p>
        </w:tc>
        <w:tc>
          <w:tcPr>
            <w:tcW w:w="567" w:type="dxa"/>
            <w:tcBorders/>
          </w:tcPr>
          <w:p>
            <w:pPr>
              <w:pStyle w:val="TableBody"/>
              <w:snapToGrid w:val="false"/>
              <w:spacing w:before="0" w:after="60"/>
              <w:rPr>
                <w:lang w:val="it-IT"/>
              </w:rPr>
            </w:pPr>
            <w:r>
              <w:rPr>
                <w:lang w:val="it-IT"/>
              </w:rPr>
            </w:r>
          </w:p>
        </w:tc>
        <w:tc>
          <w:tcPr>
            <w:tcW w:w="1054" w:type="dxa"/>
            <w:tcBorders/>
          </w:tcPr>
          <w:p>
            <w:pPr>
              <w:pStyle w:val="TableBody"/>
              <w:snapToGrid w:val="false"/>
              <w:spacing w:before="0" w:after="60"/>
              <w:rPr>
                <w:lang w:val="it-IT"/>
              </w:rPr>
            </w:pPr>
            <w:r>
              <w:rPr>
                <w:lang w:val="it-IT"/>
              </w:rPr>
            </w:r>
          </w:p>
        </w:tc>
      </w:tr>
    </w:tbl>
    <w:p>
      <w:pPr>
        <w:pStyle w:val="Para"/>
        <w:rPr>
          <w:lang w:val="it-IT"/>
        </w:rPr>
      </w:pPr>
      <w:r>
        <w:rPr>
          <w:rStyle w:val="Testoprincipaletestobold"/>
          <w:b/>
          <w:szCs w:val="24"/>
          <w:lang w:val="it-IT"/>
        </w:rPr>
        <w:t>Sono inoltre presenti i sottoindicati elementi patrimoniali</w:t>
      </w:r>
      <w:r>
        <w:rPr>
          <w:rStyle w:val="Testoprincipaletestobold"/>
          <w:szCs w:val="24"/>
          <w:lang w:val="it-IT"/>
        </w:rPr>
        <w:t>:</w:t>
      </w:r>
    </w:p>
    <w:p>
      <w:pPr>
        <w:pStyle w:val="Elenco"/>
        <w:tabs>
          <w:tab w:val="clear" w:pos="567"/>
        </w:tabs>
        <w:ind w:left="284" w:hanging="284"/>
        <w:rPr/>
      </w:pPr>
      <w:r>
        <w:rPr>
          <w:rFonts w:cs="Wingdings" w:ascii="Wingdings" w:hAnsi="Wingdings"/>
          <w:lang w:val="it-IT"/>
        </w:rPr>
        <w:t></w:t>
      </w:r>
      <w:r>
        <w:rPr>
          <w:rFonts w:cs="Wingdings" w:ascii="Wingdings" w:hAnsi="Wingdings"/>
          <w:lang w:val="it-IT"/>
        </w:rPr>
        <w:tab/>
      </w:r>
      <w:r>
        <w:rPr>
          <w:lang w:val="it-IT"/>
        </w:rPr>
        <w:t>il capitale proprio inizialmente apportato dai tre soci e il risultato economico dell’esercizio</w:t>
      </w:r>
    </w:p>
    <w:p>
      <w:pPr>
        <w:pStyle w:val="Elenco"/>
        <w:tabs>
          <w:tab w:val="clear" w:pos="567"/>
        </w:tabs>
        <w:ind w:left="284" w:hanging="284"/>
        <w:rPr/>
      </w:pPr>
      <w:r>
        <w:rPr>
          <w:rFonts w:cs="Wingdings" w:ascii="Wingdings" w:hAnsi="Wingdings"/>
          <w:lang w:val="it-IT"/>
        </w:rPr>
        <w:t></w:t>
      </w:r>
      <w:r>
        <w:rPr>
          <w:rFonts w:cs="Wingdings" w:ascii="Wingdings" w:hAnsi="Wingdings"/>
          <w:lang w:val="it-IT"/>
        </w:rPr>
        <w:tab/>
      </w:r>
      <w:r>
        <w:rPr>
          <w:lang w:val="it-IT"/>
        </w:rPr>
        <w:t>il denaro in cassa che deriva dalle seguenti operazioni effettuate nell’ultimo mese dell’esercizio amministrativo:</w:t>
      </w:r>
    </w:p>
    <w:p>
      <w:pPr>
        <w:pStyle w:val="List1"/>
        <w:tabs>
          <w:tab w:val="clear" w:pos="1134"/>
        </w:tabs>
        <w:ind w:left="851" w:hanging="284"/>
        <w:rPr/>
      </w:pPr>
      <w:r>
        <w:rPr>
          <w:rFonts w:eastAsia="Arial Unicode MS"/>
          <w:color w:val="000000"/>
          <w:lang w:val="it-IT"/>
        </w:rPr>
        <w:t>–</w:t>
      </w:r>
      <w:r>
        <w:rPr>
          <w:rFonts w:eastAsia="Arial Unicode MS"/>
          <w:color w:val="000000"/>
          <w:lang w:val="it-IT"/>
        </w:rPr>
        <w:tab/>
      </w:r>
      <w:r>
        <w:rPr>
          <w:lang w:val="it-IT"/>
        </w:rPr>
        <w:t>saldo al 1° dicembre 800 euro</w:t>
      </w:r>
    </w:p>
    <w:p>
      <w:pPr>
        <w:pStyle w:val="List1"/>
        <w:tabs>
          <w:tab w:val="clear" w:pos="1134"/>
        </w:tabs>
        <w:ind w:left="567" w:hanging="0"/>
        <w:rPr/>
      </w:pPr>
      <w:r>
        <w:rPr>
          <w:rFonts w:eastAsia="Arial Unicode MS"/>
          <w:color w:val="000000"/>
          <w:lang w:val="it-IT"/>
        </w:rPr>
        <w:t>–</w:t>
      </w:r>
      <w:r>
        <w:rPr>
          <w:rFonts w:eastAsia="Arial Unicode MS"/>
          <w:color w:val="000000"/>
          <w:lang w:val="it-IT"/>
        </w:rPr>
        <w:tab/>
      </w:r>
      <w:r>
        <w:rPr>
          <w:lang w:val="it-IT"/>
        </w:rPr>
        <w:t>pagamento di una fattura dell’importo di 1.500 euro con un ritardo di 25 giorni, tasso d’interesse applicato 7%</w:t>
      </w:r>
    </w:p>
    <w:p>
      <w:pPr>
        <w:pStyle w:val="List1"/>
        <w:tabs>
          <w:tab w:val="clear" w:pos="1134"/>
        </w:tabs>
        <w:ind w:left="851" w:hanging="284"/>
        <w:rPr/>
      </w:pPr>
      <w:r>
        <w:rPr>
          <w:rFonts w:eastAsia="Arial Unicode MS"/>
          <w:color w:val="000000"/>
          <w:lang w:val="it-IT"/>
        </w:rPr>
        <w:t>–</w:t>
      </w:r>
      <w:r>
        <w:rPr>
          <w:rFonts w:eastAsia="Arial Unicode MS"/>
          <w:color w:val="000000"/>
          <w:lang w:val="it-IT"/>
        </w:rPr>
        <w:tab/>
      </w:r>
      <w:r>
        <w:rPr>
          <w:lang w:val="it-IT"/>
        </w:rPr>
        <w:t>incassi per un totale di 10.250,19 euro</w:t>
      </w:r>
    </w:p>
    <w:p>
      <w:pPr>
        <w:pStyle w:val="List1"/>
        <w:tabs>
          <w:tab w:val="clear" w:pos="1134"/>
        </w:tabs>
        <w:ind w:left="851" w:hanging="284"/>
        <w:rPr/>
      </w:pPr>
      <w:r>
        <w:rPr>
          <w:rFonts w:eastAsia="Arial Unicode MS"/>
          <w:color w:val="000000"/>
          <w:lang w:val="it-IT"/>
        </w:rPr>
        <w:t>–</w:t>
      </w:r>
      <w:r>
        <w:rPr>
          <w:rFonts w:eastAsia="Arial Unicode MS"/>
          <w:color w:val="000000"/>
          <w:lang w:val="it-IT"/>
        </w:rPr>
        <w:tab/>
      </w:r>
      <w:r>
        <w:rPr>
          <w:lang w:val="it-IT"/>
        </w:rPr>
        <w:t>altri pagamenti e versamenti sul conto corrente bancario per un totale di 9.500 euro</w:t>
      </w:r>
    </w:p>
    <w:p>
      <w:pPr>
        <w:pStyle w:val="Elenco"/>
        <w:tabs>
          <w:tab w:val="clear" w:pos="567"/>
        </w:tabs>
        <w:ind w:left="284" w:hanging="284"/>
        <w:rPr/>
      </w:pPr>
      <w:r>
        <w:rPr>
          <w:rFonts w:cs="Wingdings" w:ascii="Wingdings" w:hAnsi="Wingdings"/>
          <w:lang w:val="it-IT"/>
        </w:rPr>
        <w:t></w:t>
      </w:r>
      <w:r>
        <w:rPr>
          <w:rFonts w:cs="Wingdings" w:ascii="Wingdings" w:hAnsi="Wingdings"/>
          <w:lang w:val="it-IT"/>
        </w:rPr>
        <w:tab/>
      </w:r>
      <w:r>
        <w:rPr>
          <w:lang w:val="it-IT"/>
        </w:rPr>
        <w:t>una serie di crediti verso clienti per un totale di 7.900 euro, tra i quali risulta anche la fattura n° 2 emessa a seguito della vendita di 2 notebook aventi un prezzo unitario di 390 euro e di accessori vari per un totale di 135 euro, sconto 5%; spese forfettarie di installazione dei software e di consegna per un totale di 85 euro, Iva ad aliquota ordinaria</w:t>
      </w:r>
    </w:p>
    <w:p>
      <w:pPr>
        <w:pStyle w:val="Elenco"/>
        <w:tabs>
          <w:tab w:val="clear" w:pos="567"/>
        </w:tabs>
        <w:ind w:left="284" w:hanging="284"/>
        <w:rPr/>
      </w:pPr>
      <w:r>
        <w:rPr>
          <w:rFonts w:cs="Wingdings" w:ascii="Wingdings" w:hAnsi="Wingdings"/>
          <w:lang w:val="it-IT"/>
        </w:rPr>
        <w:t></w:t>
      </w:r>
      <w:r>
        <w:rPr>
          <w:rFonts w:cs="Wingdings" w:ascii="Wingdings" w:hAnsi="Wingdings"/>
          <w:lang w:val="it-IT"/>
        </w:rPr>
        <w:tab/>
      </w:r>
      <w:r>
        <w:rPr>
          <w:lang w:val="it-IT"/>
        </w:rPr>
        <w:t>un assegno bancario non trasferibile emesso in data 29 dicembre dal signor Alfio Lauri di Castiglione delle Stiviere sulla banca UniCredit a saldo fattura di 2.500 euro; a seguito del regolamento effettuato con 28 giorni di anticipo è stato concesso al cliente uno sconto commerciale calcolato al tasso del 6%; l’importo dell’assegno è arrotondato all’unità di euro</w:t>
      </w:r>
    </w:p>
    <w:p>
      <w:pPr>
        <w:pStyle w:val="Elenco"/>
        <w:tabs>
          <w:tab w:val="clear" w:pos="567"/>
        </w:tabs>
        <w:ind w:left="284" w:hanging="284"/>
        <w:rPr/>
      </w:pPr>
      <w:r>
        <w:rPr>
          <w:rFonts w:cs="Wingdings" w:ascii="Wingdings" w:hAnsi="Wingdings"/>
          <w:lang w:val="it-IT"/>
        </w:rPr>
        <w:t></w:t>
      </w:r>
      <w:r>
        <w:rPr>
          <w:rFonts w:cs="Wingdings" w:ascii="Wingdings" w:hAnsi="Wingdings"/>
          <w:lang w:val="it-IT"/>
        </w:rPr>
        <w:tab/>
      </w:r>
      <w:r>
        <w:rPr>
          <w:lang w:val="it-IT"/>
        </w:rPr>
        <w:t>una cambiale da incassare del totale di 8.000 euro tratta a proprio favore in data 1° dicembre dalla signora Gianna Pavoni di Lodi (codice fiscale: PVNGNN60H58F205G) sul signor Carmelo Vicini (codice fiscale: VCNCML59D01C351C) residente ad Acireale, città sita in provincia di Catania, CAP 95024. La cambiale, scadente a tre mesi vista, è stata domiciliata presso la succursale di Catania della Banca Antonveneta S.p.A. ubicata in Via Michele Scammacca al n° 5, CAP 95126, ABI 05040 e CAB 16994.</w:t>
      </w:r>
    </w:p>
    <w:p>
      <w:pPr>
        <w:pStyle w:val="Para"/>
        <w:rPr>
          <w:lang w:val="it-IT"/>
        </w:rPr>
      </w:pPr>
      <w:r>
        <w:rPr>
          <w:lang w:val="it-IT"/>
        </w:rPr>
        <w:t>L’effetto, accettato tre giorni dopo l’emissione, è stato poi girato in pieno in data 15 dicembre alla Info Tech S.n.c. a saldo fattura di pari importo.</w:t>
      </w:r>
    </w:p>
    <w:p>
      <w:pPr>
        <w:pStyle w:val="Para"/>
        <w:rPr>
          <w:b/>
          <w:b/>
        </w:rPr>
      </w:pPr>
      <w:r>
        <w:rPr>
          <w:rStyle w:val="Testoprincipaletestobold"/>
          <w:b/>
        </w:rPr>
        <w:t>Procedi a:</w:t>
      </w:r>
    </w:p>
    <w:p>
      <w:pPr>
        <w:pStyle w:val="Elenco"/>
        <w:tabs>
          <w:tab w:val="clear" w:pos="567"/>
        </w:tabs>
        <w:ind w:left="567" w:hanging="283"/>
        <w:rPr/>
      </w:pPr>
      <w:r>
        <w:rPr>
          <w:b/>
          <w:lang w:val="it-IT"/>
        </w:rPr>
        <w:t>a.</w:t>
        <w:tab/>
      </w:r>
      <w:r>
        <w:rPr>
          <w:lang w:val="it-IT"/>
        </w:rPr>
        <w:t>spiegare su quali elementi si basano le scelte per la localizzazione dell’attività</w:t>
      </w:r>
    </w:p>
    <w:p>
      <w:pPr>
        <w:pStyle w:val="Elenco"/>
        <w:tabs>
          <w:tab w:val="clear" w:pos="567"/>
        </w:tabs>
        <w:ind w:left="567" w:hanging="283"/>
        <w:rPr/>
      </w:pPr>
      <w:r>
        <w:rPr>
          <w:b/>
          <w:lang w:val="it-IT"/>
        </w:rPr>
        <w:t>b.</w:t>
        <w:tab/>
      </w:r>
      <w:r>
        <w:rPr>
          <w:lang w:val="it-IT"/>
        </w:rPr>
        <w:t>scegliere, per ciascuna delle domande proposte più avanti, relative all’azienda in questione, la risposta corretta</w:t>
      </w:r>
    </w:p>
    <w:p>
      <w:pPr>
        <w:pStyle w:val="Elenco"/>
        <w:tabs>
          <w:tab w:val="clear" w:pos="567"/>
        </w:tabs>
        <w:ind w:left="567" w:hanging="283"/>
        <w:rPr/>
      </w:pPr>
      <w:r>
        <w:rPr>
          <w:b/>
          <w:lang w:val="it-IT"/>
        </w:rPr>
        <w:t>c.</w:t>
        <w:tab/>
      </w:r>
      <w:r>
        <w:rPr>
          <w:lang w:val="it-IT"/>
        </w:rPr>
        <w:t>correlare tra di loro gli elementi elencati più avanti, relativi al sistema informativo della Info Tech S.n.c.</w:t>
      </w:r>
    </w:p>
    <w:p>
      <w:pPr>
        <w:pStyle w:val="Elenco"/>
        <w:tabs>
          <w:tab w:val="clear" w:pos="567"/>
        </w:tabs>
        <w:ind w:left="567" w:hanging="283"/>
        <w:rPr/>
      </w:pPr>
      <w:r>
        <w:rPr>
          <w:b/>
          <w:lang w:val="it-IT"/>
        </w:rPr>
        <w:t>d.</w:t>
        <w:tab/>
      </w:r>
      <w:r>
        <w:rPr>
          <w:lang w:val="it-IT"/>
        </w:rPr>
        <w:t>determinare l’importo del denaro in cassa</w:t>
      </w:r>
    </w:p>
    <w:p>
      <w:pPr>
        <w:pStyle w:val="Elenco"/>
        <w:tabs>
          <w:tab w:val="clear" w:pos="567"/>
        </w:tabs>
        <w:ind w:left="567" w:hanging="283"/>
        <w:rPr/>
      </w:pPr>
      <w:r>
        <w:rPr>
          <w:b/>
          <w:lang w:val="it-IT"/>
        </w:rPr>
        <w:t>e.</w:t>
        <w:tab/>
      </w:r>
      <w:r>
        <w:rPr>
          <w:lang w:val="it-IT"/>
        </w:rPr>
        <w:t>compilare la parte tabellare della fattura di vendita</w:t>
      </w:r>
    </w:p>
    <w:p>
      <w:pPr>
        <w:pStyle w:val="Elenco"/>
        <w:tabs>
          <w:tab w:val="clear" w:pos="567"/>
        </w:tabs>
        <w:ind w:left="567" w:hanging="283"/>
        <w:rPr/>
      </w:pPr>
      <w:r>
        <w:rPr>
          <w:b/>
          <w:lang w:val="it-IT"/>
        </w:rPr>
        <w:t>f.</w:t>
        <w:tab/>
      </w:r>
      <w:r>
        <w:rPr>
          <w:lang w:val="it-IT"/>
        </w:rPr>
        <w:t>compilare l’assegno bancario</w:t>
      </w:r>
    </w:p>
    <w:p>
      <w:pPr>
        <w:pStyle w:val="Elenco"/>
        <w:tabs>
          <w:tab w:val="clear" w:pos="567"/>
        </w:tabs>
        <w:ind w:left="567" w:hanging="283"/>
        <w:rPr/>
      </w:pPr>
      <w:r>
        <w:rPr>
          <w:b/>
          <w:lang w:val="it-IT"/>
        </w:rPr>
        <w:t>g.</w:t>
        <w:tab/>
      </w:r>
      <w:r>
        <w:rPr>
          <w:lang w:val="it-IT"/>
        </w:rPr>
        <w:t>compilare il recto e il verso della tratta</w:t>
      </w:r>
    </w:p>
    <w:p>
      <w:pPr>
        <w:pStyle w:val="Elenco"/>
        <w:tabs>
          <w:tab w:val="clear" w:pos="567"/>
        </w:tabs>
        <w:ind w:left="567" w:hanging="283"/>
        <w:rPr/>
      </w:pPr>
      <w:r>
        <w:rPr>
          <w:b/>
          <w:lang w:val="it-IT"/>
        </w:rPr>
        <w:t>h.</w:t>
        <w:tab/>
      </w:r>
      <w:r>
        <w:rPr>
          <w:lang w:val="it-IT"/>
        </w:rPr>
        <w:t>indicare se ciascuna delle affermazioni elencate più avanti, relative agli strumenti di regolamento degli scambi utilizzati dalla società, è vera o falsa</w:t>
      </w:r>
    </w:p>
    <w:p>
      <w:pPr>
        <w:pStyle w:val="Elenco"/>
        <w:tabs>
          <w:tab w:val="clear" w:pos="567"/>
        </w:tabs>
        <w:ind w:left="567" w:hanging="283"/>
        <w:rPr/>
      </w:pPr>
      <w:r>
        <w:rPr>
          <w:b/>
          <w:lang w:val="it-IT"/>
        </w:rPr>
        <w:t>i.</w:t>
        <w:tab/>
      </w:r>
      <w:r>
        <w:rPr>
          <w:lang w:val="it-IT"/>
        </w:rPr>
        <w:t>redigere lo Stato patrimoniale</w:t>
      </w:r>
    </w:p>
    <w:p>
      <w:pPr>
        <w:pStyle w:val="Elenco"/>
        <w:tabs>
          <w:tab w:val="clear" w:pos="567"/>
        </w:tabs>
        <w:ind w:left="567" w:hanging="283"/>
        <w:rPr/>
      </w:pPr>
      <w:r>
        <w:rPr>
          <w:b/>
          <w:lang w:val="it-IT"/>
        </w:rPr>
        <w:t>j.</w:t>
        <w:tab/>
      </w:r>
      <w:r>
        <w:rPr>
          <w:lang w:val="it-IT"/>
        </w:rPr>
        <w:t>completare le frasi proposte più avanti, relative al Conto economico dell’azienda</w:t>
      </w:r>
    </w:p>
    <w:p>
      <w:pPr>
        <w:pStyle w:val="Para"/>
        <w:rPr>
          <w:lang w:val="it-IT"/>
        </w:rPr>
      </w:pPr>
      <w:r>
        <w:rPr>
          <w:rStyle w:val="Testoprincipaletestobold"/>
          <w:b/>
          <w:szCs w:val="24"/>
          <w:lang w:val="it-IT"/>
        </w:rPr>
        <w:t>Risposta multipla (punto b)</w:t>
      </w:r>
    </w:p>
    <w:p>
      <w:pPr>
        <w:pStyle w:val="Para"/>
        <w:rPr>
          <w:rStyle w:val="Testoprincipaletestoitalic"/>
          <w:i/>
          <w:i/>
          <w:szCs w:val="24"/>
          <w:lang w:val="it-IT"/>
        </w:rPr>
      </w:pPr>
      <w:r>
        <w:rPr>
          <w:rStyle w:val="Testoprincipaletestoitalic"/>
          <w:i/>
          <w:szCs w:val="24"/>
          <w:lang w:val="it-IT"/>
        </w:rPr>
        <w:t>Scegli, per ciascuna delle seguenti domande relative all’azienda in questione, la risposta corretta</w:t>
      </w:r>
    </w:p>
    <w:p>
      <w:pPr>
        <w:pStyle w:val="Elenco"/>
        <w:tabs>
          <w:tab w:val="clear" w:pos="567"/>
        </w:tabs>
        <w:ind w:left="284" w:hanging="284"/>
        <w:rPr>
          <w:lang w:val="it-IT"/>
        </w:rPr>
      </w:pPr>
      <w:r>
        <w:rPr>
          <w:b/>
          <w:lang w:val="it-IT"/>
        </w:rPr>
        <w:t>1.</w:t>
        <w:tab/>
      </w:r>
      <w:r>
        <w:rPr>
          <w:lang w:val="en-IN" w:eastAsia="en-IN"/>
        </w:rPr>
        <w:t>L’azienda Info Tech S.n.c. opera nel settore</w:t>
      </w:r>
    </w:p>
    <w:p>
      <w:pPr>
        <w:pStyle w:val="Elenco"/>
        <w:tabs>
          <w:tab w:val="clear" w:pos="567"/>
        </w:tabs>
        <w:ind w:left="284" w:hanging="284"/>
        <w:rPr/>
      </w:pPr>
      <w:r>
        <w:rPr>
          <w:b/>
          <w:lang w:val="it-IT"/>
        </w:rPr>
        <w:t>a</w:t>
        <w:tab/>
      </w:r>
      <w:r>
        <w:rPr>
          <w:lang w:val="it-IT"/>
        </w:rPr>
        <w:t>primario</w:t>
      </w:r>
    </w:p>
    <w:p>
      <w:pPr>
        <w:pStyle w:val="Elenco"/>
        <w:tabs>
          <w:tab w:val="clear" w:pos="567"/>
        </w:tabs>
        <w:ind w:left="284" w:hanging="284"/>
        <w:rPr>
          <w:lang w:val="it-IT"/>
        </w:rPr>
      </w:pPr>
      <w:r>
        <w:rPr>
          <w:b/>
          <w:lang w:val="it-IT"/>
        </w:rPr>
        <w:t>b</w:t>
        <w:tab/>
      </w:r>
      <w:r>
        <w:rPr>
          <w:lang w:val="it-IT"/>
        </w:rPr>
        <w:t>secondario</w:t>
      </w:r>
    </w:p>
    <w:p>
      <w:pPr>
        <w:pStyle w:val="Elenco"/>
        <w:tabs>
          <w:tab w:val="clear" w:pos="567"/>
        </w:tabs>
        <w:ind w:left="284" w:hanging="284"/>
        <w:rPr>
          <w:lang w:val="it-IT"/>
        </w:rPr>
      </w:pPr>
      <w:r>
        <w:rPr>
          <w:b/>
          <w:lang w:val="it-IT"/>
        </w:rPr>
        <w:t>c</w:t>
        <w:tab/>
      </w:r>
      <w:r>
        <w:rPr>
          <w:lang w:val="it-IT"/>
        </w:rPr>
        <w:t>terziario avanzato</w:t>
      </w:r>
    </w:p>
    <w:p>
      <w:pPr>
        <w:pStyle w:val="Elenco"/>
        <w:spacing w:before="200" w:after="60"/>
        <w:ind w:left="284" w:hanging="284"/>
        <w:contextualSpacing w:val="false"/>
        <w:rPr/>
      </w:pPr>
      <w:r>
        <w:rPr>
          <w:rStyle w:val="Testoprincipaletestobold"/>
          <w:b/>
          <w:szCs w:val="24"/>
          <w:lang w:val="it-IT"/>
        </w:rPr>
        <w:t>2.</w:t>
      </w:r>
      <w:r>
        <w:rPr>
          <w:rStyle w:val="Testoprincipaletestobold"/>
          <w:szCs w:val="24"/>
          <w:lang w:val="it-IT"/>
        </w:rPr>
        <w:tab/>
      </w:r>
      <w:r>
        <w:rPr>
          <w:lang w:val="it-IT"/>
        </w:rPr>
        <w:t>Gli elementi costitutivi dell’azienda, oltre all’insieme di persone e beni economici, sono</w:t>
      </w:r>
    </w:p>
    <w:p>
      <w:pPr>
        <w:pStyle w:val="Elenco"/>
        <w:tabs>
          <w:tab w:val="clear" w:pos="567"/>
        </w:tabs>
        <w:ind w:left="284" w:hanging="284"/>
        <w:rPr/>
      </w:pPr>
      <w:r>
        <w:rPr>
          <w:b/>
          <w:lang w:val="it-IT"/>
        </w:rPr>
        <w:t>a</w:t>
        <w:tab/>
      </w:r>
      <w:r>
        <w:rPr>
          <w:lang w:val="it-IT"/>
        </w:rPr>
        <w:t>la struttura organizzativa</w:t>
      </w:r>
    </w:p>
    <w:p>
      <w:pPr>
        <w:pStyle w:val="Elenco"/>
        <w:tabs>
          <w:tab w:val="clear" w:pos="567"/>
        </w:tabs>
        <w:ind w:left="284" w:hanging="284"/>
        <w:rPr/>
      </w:pPr>
      <w:r>
        <w:rPr>
          <w:b/>
          <w:lang w:val="it-IT"/>
        </w:rPr>
        <w:t>b</w:t>
        <w:tab/>
      </w:r>
      <w:r>
        <w:rPr>
          <w:lang w:val="it-IT"/>
        </w:rPr>
        <w:t>le operazioni e il fine</w:t>
      </w:r>
    </w:p>
    <w:p>
      <w:pPr>
        <w:pStyle w:val="Elenco"/>
        <w:tabs>
          <w:tab w:val="clear" w:pos="567"/>
        </w:tabs>
        <w:ind w:left="284" w:hanging="284"/>
        <w:rPr>
          <w:lang w:val="it-IT"/>
        </w:rPr>
      </w:pPr>
      <w:r>
        <w:rPr>
          <w:b/>
          <w:lang w:val="it-IT"/>
        </w:rPr>
        <w:t>c</w:t>
        <w:tab/>
      </w:r>
      <w:r>
        <w:rPr>
          <w:lang w:val="it-IT"/>
        </w:rPr>
        <w:t>entrambe le risposte precedenti</w:t>
      </w:r>
    </w:p>
    <w:p>
      <w:pPr>
        <w:pStyle w:val="Elenco"/>
        <w:tabs>
          <w:tab w:val="clear" w:pos="567"/>
        </w:tabs>
        <w:spacing w:before="200" w:after="60"/>
        <w:ind w:left="284" w:hanging="284"/>
        <w:contextualSpacing w:val="false"/>
        <w:rPr/>
      </w:pPr>
      <w:r>
        <w:rPr>
          <w:rStyle w:val="Testoprincipaletestobold"/>
          <w:b/>
          <w:szCs w:val="24"/>
          <w:lang w:val="it-IT"/>
        </w:rPr>
        <w:t>3.</w:t>
      </w:r>
      <w:r>
        <w:rPr>
          <w:rStyle w:val="Testoprincipaletestobold"/>
          <w:szCs w:val="24"/>
          <w:lang w:val="it-IT"/>
        </w:rPr>
        <w:tab/>
      </w:r>
      <w:r>
        <w:rPr>
          <w:lang w:val="it-IT"/>
        </w:rPr>
        <w:t>L’azienda è un sistema in quanto</w:t>
      </w:r>
    </w:p>
    <w:p>
      <w:pPr>
        <w:pStyle w:val="Elenco"/>
        <w:tabs>
          <w:tab w:val="clear" w:pos="567"/>
        </w:tabs>
        <w:ind w:left="284" w:hanging="284"/>
        <w:rPr/>
      </w:pPr>
      <w:r>
        <w:rPr>
          <w:b/>
          <w:lang w:val="it-IT"/>
        </w:rPr>
        <w:t>a</w:t>
        <w:tab/>
      </w:r>
      <w:r>
        <w:rPr>
          <w:lang w:val="it-IT"/>
        </w:rPr>
        <w:t>è formata da molteplici elementi</w:t>
      </w:r>
    </w:p>
    <w:p>
      <w:pPr>
        <w:pStyle w:val="Elenco"/>
        <w:tabs>
          <w:tab w:val="clear" w:pos="567"/>
        </w:tabs>
        <w:ind w:left="284" w:hanging="284"/>
        <w:rPr/>
      </w:pPr>
      <w:r>
        <w:rPr>
          <w:b/>
          <w:lang w:val="it-IT"/>
        </w:rPr>
        <w:t>b</w:t>
        <w:tab/>
      </w:r>
      <w:r>
        <w:rPr>
          <w:lang w:val="it-IT"/>
        </w:rPr>
        <w:t>gli elementi da cui è costituita sono coordinati tra di loro</w:t>
      </w:r>
    </w:p>
    <w:p>
      <w:pPr>
        <w:pStyle w:val="Elenco"/>
        <w:tabs>
          <w:tab w:val="clear" w:pos="567"/>
        </w:tabs>
        <w:ind w:left="284" w:hanging="284"/>
        <w:rPr>
          <w:lang w:val="it-IT"/>
        </w:rPr>
      </w:pPr>
      <w:r>
        <w:rPr>
          <w:b/>
          <w:lang w:val="it-IT"/>
        </w:rPr>
        <w:t>c</w:t>
        <w:tab/>
      </w:r>
      <w:r>
        <w:rPr>
          <w:lang w:val="it-IT"/>
        </w:rPr>
        <w:t>ha un valore economico</w:t>
      </w:r>
    </w:p>
    <w:p>
      <w:pPr>
        <w:pStyle w:val="Elenco"/>
        <w:spacing w:before="200" w:after="60"/>
        <w:ind w:left="284" w:hanging="284"/>
        <w:contextualSpacing w:val="false"/>
        <w:rPr/>
      </w:pPr>
      <w:r>
        <w:rPr>
          <w:rStyle w:val="Testoprincipaletestobold"/>
          <w:b/>
          <w:szCs w:val="24"/>
          <w:lang w:val="it-IT"/>
        </w:rPr>
        <w:t>4.</w:t>
      </w:r>
      <w:r>
        <w:rPr>
          <w:rStyle w:val="Testoprincipaletestobold"/>
          <w:szCs w:val="24"/>
          <w:lang w:val="it-IT"/>
        </w:rPr>
        <w:tab/>
      </w:r>
      <w:r>
        <w:rPr>
          <w:lang w:val="it-IT"/>
        </w:rPr>
        <w:t>L’azienda è un sistema dinamico in quanto</w:t>
      </w:r>
    </w:p>
    <w:p>
      <w:pPr>
        <w:pStyle w:val="Elenco"/>
        <w:tabs>
          <w:tab w:val="clear" w:pos="567"/>
        </w:tabs>
        <w:ind w:left="284" w:hanging="284"/>
        <w:rPr/>
      </w:pPr>
      <w:r>
        <w:rPr>
          <w:b/>
          <w:lang w:val="it-IT"/>
        </w:rPr>
        <w:t>a</w:t>
        <w:tab/>
      </w:r>
      <w:r>
        <w:rPr>
          <w:lang w:val="it-IT"/>
        </w:rPr>
        <w:t>è soggetta a cambiamenti e ad adattamenti</w:t>
      </w:r>
    </w:p>
    <w:p>
      <w:pPr>
        <w:pStyle w:val="Elenco"/>
        <w:tabs>
          <w:tab w:val="clear" w:pos="567"/>
        </w:tabs>
        <w:ind w:left="284" w:hanging="284"/>
        <w:rPr/>
      </w:pPr>
      <w:r>
        <w:rPr>
          <w:b/>
          <w:lang w:val="it-IT"/>
        </w:rPr>
        <w:t>b</w:t>
        <w:tab/>
      </w:r>
      <w:r>
        <w:rPr>
          <w:lang w:val="it-IT"/>
        </w:rPr>
        <w:t>è dotata di meccanismi di controllo</w:t>
      </w:r>
    </w:p>
    <w:p>
      <w:pPr>
        <w:pStyle w:val="Elenco"/>
        <w:tabs>
          <w:tab w:val="clear" w:pos="567"/>
        </w:tabs>
        <w:ind w:left="284" w:hanging="284"/>
        <w:rPr>
          <w:lang w:val="it-IT"/>
        </w:rPr>
      </w:pPr>
      <w:r>
        <w:rPr>
          <w:b/>
          <w:lang w:val="it-IT"/>
        </w:rPr>
        <w:t>c</w:t>
        <w:tab/>
      </w:r>
      <w:r>
        <w:rPr>
          <w:lang w:val="it-IT"/>
        </w:rPr>
        <w:t>ha rapporti con l’esterno</w:t>
      </w:r>
    </w:p>
    <w:p>
      <w:pPr>
        <w:pStyle w:val="Elenco"/>
        <w:spacing w:before="200" w:after="60"/>
        <w:ind w:left="284" w:hanging="284"/>
        <w:contextualSpacing w:val="false"/>
        <w:rPr/>
      </w:pPr>
      <w:r>
        <w:rPr>
          <w:rStyle w:val="Testoprincipaletestobold"/>
          <w:b/>
          <w:szCs w:val="24"/>
          <w:lang w:val="it-IT"/>
        </w:rPr>
        <w:t>5.</w:t>
      </w:r>
      <w:r>
        <w:rPr>
          <w:rStyle w:val="Testoprincipaletestobold"/>
          <w:szCs w:val="24"/>
          <w:lang w:val="it-IT"/>
        </w:rPr>
        <w:tab/>
      </w:r>
      <w:r>
        <w:rPr>
          <w:lang w:val="it-IT"/>
        </w:rPr>
        <w:t>La società Info Tech S.n.c. è</w:t>
      </w:r>
    </w:p>
    <w:p>
      <w:pPr>
        <w:pStyle w:val="Elenco"/>
        <w:tabs>
          <w:tab w:val="clear" w:pos="567"/>
        </w:tabs>
        <w:ind w:left="284" w:hanging="284"/>
        <w:rPr/>
      </w:pPr>
      <w:r>
        <w:rPr>
          <w:b/>
          <w:lang w:val="it-IT"/>
        </w:rPr>
        <w:t>a</w:t>
        <w:tab/>
      </w:r>
      <w:r>
        <w:rPr>
          <w:lang w:val="it-IT"/>
        </w:rPr>
        <w:t>un’azienda di erogazione, dato che eroga servizi immateriali di consulenza</w:t>
      </w:r>
    </w:p>
    <w:p>
      <w:pPr>
        <w:pStyle w:val="Elenco"/>
        <w:tabs>
          <w:tab w:val="clear" w:pos="567"/>
        </w:tabs>
        <w:ind w:left="284" w:hanging="284"/>
        <w:rPr/>
      </w:pPr>
      <w:r>
        <w:rPr>
          <w:b/>
          <w:lang w:val="it-IT"/>
        </w:rPr>
        <w:t>b</w:t>
        <w:tab/>
      </w:r>
      <w:r>
        <w:rPr>
          <w:lang w:val="it-IT"/>
        </w:rPr>
        <w:t>un’azienda di produzione diretta poichè produce servizi, ma anche un’azienda di produzione indiretta in quanto commercializza beni già prodotti da altre aziende</w:t>
      </w:r>
    </w:p>
    <w:p>
      <w:pPr>
        <w:pStyle w:val="Elenco"/>
        <w:tabs>
          <w:tab w:val="clear" w:pos="567"/>
        </w:tabs>
        <w:ind w:left="284" w:hanging="284"/>
        <w:rPr>
          <w:lang w:val="it-IT"/>
        </w:rPr>
      </w:pPr>
      <w:r>
        <w:rPr>
          <w:b/>
          <w:lang w:val="it-IT"/>
        </w:rPr>
        <w:t>c</w:t>
        <w:tab/>
      </w:r>
      <w:r>
        <w:rPr>
          <w:lang w:val="it-IT"/>
        </w:rPr>
        <w:t>nessuna delle risposte precedenti</w:t>
      </w:r>
    </w:p>
    <w:p>
      <w:pPr>
        <w:pStyle w:val="Elenco"/>
        <w:tabs>
          <w:tab w:val="clear" w:pos="567"/>
        </w:tabs>
        <w:spacing w:before="200" w:after="60"/>
        <w:ind w:left="272" w:hanging="272"/>
        <w:contextualSpacing w:val="false"/>
        <w:rPr/>
      </w:pPr>
      <w:r>
        <w:rPr>
          <w:rStyle w:val="Testoprincipaletestobold"/>
          <w:b/>
          <w:szCs w:val="24"/>
          <w:lang w:val="it-IT"/>
        </w:rPr>
        <w:t>6.</w:t>
      </w:r>
      <w:r>
        <w:rPr>
          <w:rStyle w:val="Testoprincipaletestobold"/>
          <w:szCs w:val="24"/>
          <w:lang w:val="it-IT"/>
        </w:rPr>
        <w:tab/>
      </w:r>
      <w:r>
        <w:rPr>
          <w:lang w:val="it-IT"/>
        </w:rPr>
        <w:t>La società Info Tech S.n.c. è un’azienda</w:t>
      </w:r>
    </w:p>
    <w:p>
      <w:pPr>
        <w:pStyle w:val="Elenco"/>
        <w:tabs>
          <w:tab w:val="clear" w:pos="567"/>
        </w:tabs>
        <w:ind w:left="284" w:hanging="284"/>
        <w:rPr/>
      </w:pPr>
      <w:r>
        <w:rPr>
          <w:b/>
          <w:lang w:val="it-IT"/>
        </w:rPr>
        <w:t>a</w:t>
        <w:tab/>
      </w:r>
      <w:r>
        <w:rPr>
          <w:lang w:val="it-IT"/>
        </w:rPr>
        <w:t>privata individuale, in quanto fa capo a tre soci persone fisiche</w:t>
      </w:r>
    </w:p>
    <w:p>
      <w:pPr>
        <w:pStyle w:val="Elenco"/>
        <w:tabs>
          <w:tab w:val="clear" w:pos="567"/>
        </w:tabs>
        <w:ind w:left="284" w:hanging="284"/>
        <w:rPr/>
      </w:pPr>
      <w:r>
        <w:rPr>
          <w:b/>
          <w:lang w:val="it-IT"/>
        </w:rPr>
        <w:t>b</w:t>
        <w:tab/>
      </w:r>
      <w:r>
        <w:rPr>
          <w:lang w:val="it-IT"/>
        </w:rPr>
        <w:t>privata collettiva, in quanto costituita in forma societaria</w:t>
      </w:r>
    </w:p>
    <w:p>
      <w:pPr>
        <w:pStyle w:val="Elenco"/>
        <w:tabs>
          <w:tab w:val="clear" w:pos="567"/>
        </w:tabs>
        <w:ind w:left="284" w:hanging="284"/>
        <w:rPr>
          <w:lang w:val="it-IT"/>
        </w:rPr>
      </w:pPr>
      <w:r>
        <w:rPr>
          <w:b/>
          <w:lang w:val="it-IT"/>
        </w:rPr>
        <w:t>c</w:t>
        <w:tab/>
      </w:r>
      <w:r>
        <w:rPr>
          <w:lang w:val="it-IT"/>
        </w:rPr>
        <w:t>pubblica, dato che opera a diretto contatto con i clienti</w:t>
      </w:r>
    </w:p>
    <w:p>
      <w:pPr>
        <w:pStyle w:val="Elenco"/>
        <w:tabs>
          <w:tab w:val="clear" w:pos="567"/>
        </w:tabs>
        <w:spacing w:before="200" w:after="60"/>
        <w:ind w:left="272" w:hanging="272"/>
        <w:contextualSpacing w:val="false"/>
        <w:rPr/>
      </w:pPr>
      <w:r>
        <w:rPr>
          <w:rStyle w:val="Testoprincipaletestobold"/>
          <w:b/>
          <w:szCs w:val="24"/>
          <w:lang w:val="it-IT"/>
        </w:rPr>
        <w:t>7.</w:t>
      </w:r>
      <w:r>
        <w:rPr>
          <w:rStyle w:val="Testoprincipaletestobold"/>
          <w:szCs w:val="24"/>
          <w:lang w:val="it-IT"/>
        </w:rPr>
        <w:tab/>
      </w:r>
      <w:r>
        <w:rPr>
          <w:lang w:val="it-IT"/>
        </w:rPr>
        <w:t>L’imprenditore</w:t>
      </w:r>
    </w:p>
    <w:p>
      <w:pPr>
        <w:pStyle w:val="Elenco"/>
        <w:tabs>
          <w:tab w:val="clear" w:pos="567"/>
        </w:tabs>
        <w:ind w:left="284" w:hanging="284"/>
        <w:rPr/>
      </w:pPr>
      <w:r>
        <w:rPr>
          <w:b/>
          <w:lang w:val="it-IT"/>
        </w:rPr>
        <w:t>a</w:t>
        <w:tab/>
      </w:r>
      <w:r>
        <w:rPr>
          <w:lang w:val="it-IT"/>
        </w:rPr>
        <w:t>è la signora Grusi, in quanto detiene la maggioranza del capitale sociale</w:t>
      </w:r>
    </w:p>
    <w:p>
      <w:pPr>
        <w:pStyle w:val="Elenco"/>
        <w:tabs>
          <w:tab w:val="clear" w:pos="567"/>
        </w:tabs>
        <w:ind w:left="284" w:hanging="284"/>
        <w:rPr/>
      </w:pPr>
      <w:r>
        <w:rPr>
          <w:b/>
          <w:lang w:val="it-IT"/>
        </w:rPr>
        <w:t>b</w:t>
        <w:tab/>
      </w:r>
      <w:r>
        <w:rPr>
          <w:lang w:val="it-IT"/>
        </w:rPr>
        <w:t>corrisponde al soggetto economico dell’azienda</w:t>
      </w:r>
    </w:p>
    <w:p>
      <w:pPr>
        <w:pStyle w:val="Elenco"/>
        <w:tabs>
          <w:tab w:val="clear" w:pos="567"/>
        </w:tabs>
        <w:ind w:left="284" w:hanging="284"/>
        <w:rPr>
          <w:lang w:val="it-IT"/>
        </w:rPr>
      </w:pPr>
      <w:r>
        <w:rPr>
          <w:b/>
          <w:lang w:val="it-IT"/>
        </w:rPr>
        <w:t>c</w:t>
        <w:tab/>
      </w:r>
      <w:r>
        <w:rPr>
          <w:lang w:val="it-IT"/>
        </w:rPr>
        <w:t>coincide con l’insieme dei tre soci</w:t>
      </w:r>
    </w:p>
    <w:p>
      <w:pPr>
        <w:pStyle w:val="Elenco"/>
        <w:tabs>
          <w:tab w:val="clear" w:pos="567"/>
        </w:tabs>
        <w:spacing w:before="200" w:after="60"/>
        <w:ind w:left="272" w:hanging="272"/>
        <w:contextualSpacing w:val="false"/>
        <w:rPr/>
      </w:pPr>
      <w:r>
        <w:rPr>
          <w:rStyle w:val="Testoprincipaletestobold"/>
          <w:b/>
          <w:szCs w:val="24"/>
          <w:lang w:val="it-IT"/>
        </w:rPr>
        <w:t>8.</w:t>
      </w:r>
      <w:r>
        <w:rPr>
          <w:rStyle w:val="Testoprincipaletestobold"/>
          <w:szCs w:val="24"/>
          <w:lang w:val="it-IT"/>
        </w:rPr>
        <w:tab/>
      </w:r>
      <w:r>
        <w:rPr>
          <w:lang w:val="it-IT"/>
        </w:rPr>
        <w:t>Le scelte relative al reperimento delle fonti di finanziamento</w:t>
      </w:r>
    </w:p>
    <w:p>
      <w:pPr>
        <w:pStyle w:val="Elenco"/>
        <w:tabs>
          <w:tab w:val="clear" w:pos="567"/>
        </w:tabs>
        <w:ind w:left="284" w:hanging="284"/>
        <w:rPr/>
      </w:pPr>
      <w:r>
        <w:rPr>
          <w:b/>
          <w:lang w:val="it-IT"/>
        </w:rPr>
        <w:t>a</w:t>
        <w:tab/>
      </w:r>
      <w:r>
        <w:rPr>
          <w:lang w:val="it-IT"/>
        </w:rPr>
        <w:t>fanno capo al sottosistema Finanza e originano costi per interessi</w:t>
      </w:r>
    </w:p>
    <w:p>
      <w:pPr>
        <w:pStyle w:val="Elenco"/>
        <w:tabs>
          <w:tab w:val="clear" w:pos="567"/>
        </w:tabs>
        <w:ind w:left="284" w:hanging="284"/>
        <w:rPr/>
      </w:pPr>
      <w:r>
        <w:rPr>
          <w:b/>
          <w:lang w:val="it-IT"/>
        </w:rPr>
        <w:t>b</w:t>
        <w:tab/>
      </w:r>
      <w:r>
        <w:rPr>
          <w:lang w:val="it-IT"/>
        </w:rPr>
        <w:t>fanno capo al sottosistema Acquisti e originano costi per interessi</w:t>
      </w:r>
    </w:p>
    <w:p>
      <w:pPr>
        <w:pStyle w:val="Elenco"/>
        <w:tabs>
          <w:tab w:val="clear" w:pos="567"/>
        </w:tabs>
        <w:ind w:left="284" w:hanging="284"/>
        <w:rPr>
          <w:lang w:val="it-IT"/>
        </w:rPr>
      </w:pPr>
      <w:r>
        <w:rPr>
          <w:b/>
          <w:lang w:val="it-IT"/>
        </w:rPr>
        <w:t>c</w:t>
        <w:tab/>
      </w:r>
      <w:r>
        <w:rPr>
          <w:lang w:val="it-IT"/>
        </w:rPr>
        <w:t>sono di pertinenza del sottosistema Amministrazione e originano costi per interessi passivi e ricavi per interessi attivi</w:t>
      </w:r>
    </w:p>
    <w:p>
      <w:pPr>
        <w:pStyle w:val="Elenco"/>
        <w:tabs>
          <w:tab w:val="clear" w:pos="567"/>
        </w:tabs>
        <w:spacing w:before="200" w:after="60"/>
        <w:ind w:left="272" w:hanging="272"/>
        <w:contextualSpacing w:val="false"/>
        <w:rPr/>
      </w:pPr>
      <w:r>
        <w:rPr>
          <w:rStyle w:val="Testoprincipaletestobold"/>
          <w:b/>
          <w:szCs w:val="24"/>
          <w:lang w:val="it-IT"/>
        </w:rPr>
        <w:t>9.</w:t>
      </w:r>
      <w:r>
        <w:rPr>
          <w:rStyle w:val="Testoprincipaletestobold"/>
          <w:szCs w:val="24"/>
          <w:lang w:val="it-IT"/>
        </w:rPr>
        <w:tab/>
      </w:r>
      <w:r>
        <w:rPr>
          <w:lang w:val="it-IT"/>
        </w:rPr>
        <w:t>L’approvvigionamento dei fattori produttivi</w:t>
      </w:r>
    </w:p>
    <w:p>
      <w:pPr>
        <w:pStyle w:val="Elenco"/>
        <w:tabs>
          <w:tab w:val="clear" w:pos="567"/>
        </w:tabs>
        <w:ind w:left="284" w:hanging="284"/>
        <w:rPr/>
      </w:pPr>
      <w:r>
        <w:rPr>
          <w:b/>
          <w:lang w:val="it-IT"/>
        </w:rPr>
        <w:t>a</w:t>
        <w:tab/>
      </w:r>
      <w:r>
        <w:rPr>
          <w:lang w:val="it-IT"/>
        </w:rPr>
        <w:t>è un’operazione di gestione esterna</w:t>
      </w:r>
    </w:p>
    <w:p>
      <w:pPr>
        <w:pStyle w:val="Elenco"/>
        <w:tabs>
          <w:tab w:val="clear" w:pos="567"/>
        </w:tabs>
        <w:ind w:left="284" w:hanging="284"/>
        <w:rPr/>
      </w:pPr>
      <w:r>
        <w:rPr>
          <w:b/>
          <w:lang w:val="it-IT"/>
        </w:rPr>
        <w:t>b</w:t>
        <w:tab/>
      </w:r>
      <w:r>
        <w:rPr>
          <w:lang w:val="it-IT"/>
        </w:rPr>
        <w:t>comporta il sostenimento di costi ed è effettuato dal sottosistema Produzione</w:t>
      </w:r>
    </w:p>
    <w:p>
      <w:pPr>
        <w:pStyle w:val="Elenco"/>
        <w:tabs>
          <w:tab w:val="clear" w:pos="567"/>
        </w:tabs>
        <w:ind w:left="284" w:hanging="284"/>
        <w:rPr>
          <w:lang w:val="it-IT"/>
        </w:rPr>
      </w:pPr>
      <w:r>
        <w:rPr>
          <w:b/>
          <w:lang w:val="it-IT"/>
        </w:rPr>
        <w:t>c</w:t>
        <w:tab/>
      </w:r>
      <w:r>
        <w:rPr>
          <w:lang w:val="it-IT"/>
        </w:rPr>
        <w:t>genera solo flussi reali</w:t>
      </w:r>
    </w:p>
    <w:p>
      <w:pPr>
        <w:pStyle w:val="Elenco"/>
        <w:tabs>
          <w:tab w:val="clear" w:pos="567"/>
        </w:tabs>
        <w:spacing w:before="200" w:after="60"/>
        <w:ind w:left="272" w:hanging="272"/>
        <w:contextualSpacing w:val="false"/>
        <w:rPr/>
      </w:pPr>
      <w:r>
        <w:rPr>
          <w:rStyle w:val="Testoprincipaletestobold"/>
          <w:b/>
          <w:szCs w:val="24"/>
          <w:lang w:val="it-IT"/>
        </w:rPr>
        <w:t>10.</w:t>
      </w:r>
      <w:r>
        <w:rPr>
          <w:rStyle w:val="Testoprincipaletestobold"/>
          <w:szCs w:val="24"/>
          <w:lang w:val="it-IT"/>
        </w:rPr>
        <w:tab/>
      </w:r>
      <w:r>
        <w:rPr>
          <w:lang w:val="it-IT"/>
        </w:rPr>
        <w:t>La vendita di un computer</w:t>
      </w:r>
    </w:p>
    <w:p>
      <w:pPr>
        <w:pStyle w:val="Elenco"/>
        <w:tabs>
          <w:tab w:val="clear" w:pos="567"/>
        </w:tabs>
        <w:ind w:left="284" w:hanging="284"/>
        <w:rPr/>
      </w:pPr>
      <w:r>
        <w:rPr>
          <w:b/>
          <w:lang w:val="it-IT"/>
        </w:rPr>
        <w:t>a</w:t>
        <w:tab/>
      </w:r>
      <w:r>
        <w:rPr>
          <w:lang w:val="it-IT"/>
        </w:rPr>
        <w:t>è un’operazione di gestione interna che origina flussi monetari e reali</w:t>
      </w:r>
    </w:p>
    <w:p>
      <w:pPr>
        <w:pStyle w:val="Elenco"/>
        <w:tabs>
          <w:tab w:val="clear" w:pos="567"/>
        </w:tabs>
        <w:ind w:left="284" w:hanging="284"/>
        <w:rPr/>
      </w:pPr>
      <w:r>
        <w:rPr>
          <w:b/>
          <w:lang w:val="it-IT"/>
        </w:rPr>
        <w:t>b</w:t>
        <w:tab/>
      </w:r>
      <w:r>
        <w:rPr>
          <w:lang w:val="it-IT"/>
        </w:rPr>
        <w:t>è un’operazione di gestione esterna che genera un utile d’esercizio</w:t>
      </w:r>
    </w:p>
    <w:p>
      <w:pPr>
        <w:pStyle w:val="Elenco"/>
        <w:tabs>
          <w:tab w:val="clear" w:pos="567"/>
        </w:tabs>
        <w:ind w:left="284" w:hanging="284"/>
        <w:rPr>
          <w:lang w:val="it-IT"/>
        </w:rPr>
      </w:pPr>
      <w:r>
        <w:rPr>
          <w:b/>
          <w:lang w:val="it-IT"/>
        </w:rPr>
        <w:t>c</w:t>
        <w:tab/>
      </w:r>
      <w:r>
        <w:rPr>
          <w:lang w:val="it-IT"/>
        </w:rPr>
        <w:t>è un’operazione di gestione esterna che genera ricavi</w:t>
      </w:r>
    </w:p>
    <w:p>
      <w:pPr>
        <w:pStyle w:val="Elenco"/>
        <w:tabs>
          <w:tab w:val="clear" w:pos="567"/>
        </w:tabs>
        <w:spacing w:before="200" w:after="60"/>
        <w:ind w:left="272" w:hanging="272"/>
        <w:contextualSpacing w:val="false"/>
        <w:rPr/>
      </w:pPr>
      <w:r>
        <w:rPr>
          <w:rStyle w:val="Testoprincipaletestobold"/>
          <w:b/>
          <w:szCs w:val="24"/>
          <w:lang w:val="it-IT"/>
        </w:rPr>
        <w:t>11.</w:t>
      </w:r>
      <w:r>
        <w:rPr>
          <w:rStyle w:val="Testoprincipaletestobold"/>
          <w:szCs w:val="24"/>
          <w:lang w:val="it-IT"/>
        </w:rPr>
        <w:tab/>
      </w:r>
      <w:r>
        <w:rPr>
          <w:lang w:val="it-IT"/>
        </w:rPr>
        <w:t>I mobili, le macchine d’ufficio e le attrezzature commerciali sono</w:t>
      </w:r>
    </w:p>
    <w:p>
      <w:pPr>
        <w:pStyle w:val="Elenco"/>
        <w:tabs>
          <w:tab w:val="clear" w:pos="567"/>
        </w:tabs>
        <w:ind w:left="284" w:hanging="284"/>
        <w:rPr/>
      </w:pPr>
      <w:r>
        <w:rPr>
          <w:b/>
          <w:lang w:val="it-IT"/>
        </w:rPr>
        <w:t>a</w:t>
        <w:tab/>
      </w:r>
      <w:r>
        <w:rPr>
          <w:lang w:val="it-IT"/>
        </w:rPr>
        <w:t>fattori produttivi materiali a lungo ciclo di utilizzo</w:t>
      </w:r>
    </w:p>
    <w:p>
      <w:pPr>
        <w:pStyle w:val="Elenco"/>
        <w:tabs>
          <w:tab w:val="clear" w:pos="567"/>
        </w:tabs>
        <w:ind w:left="284" w:hanging="284"/>
        <w:rPr/>
      </w:pPr>
      <w:r>
        <w:rPr>
          <w:b/>
          <w:lang w:val="it-IT"/>
        </w:rPr>
        <w:t>b</w:t>
        <w:tab/>
      </w:r>
      <w:r>
        <w:rPr>
          <w:lang w:val="it-IT"/>
        </w:rPr>
        <w:t>fattori produttivi materiali a breve ciclo di utilizzo</w:t>
      </w:r>
    </w:p>
    <w:p>
      <w:pPr>
        <w:pStyle w:val="Elenco"/>
        <w:tabs>
          <w:tab w:val="clear" w:pos="567"/>
        </w:tabs>
        <w:ind w:left="284" w:hanging="284"/>
        <w:rPr>
          <w:lang w:val="it-IT"/>
        </w:rPr>
      </w:pPr>
      <w:r>
        <w:rPr>
          <w:b/>
          <w:lang w:val="it-IT"/>
        </w:rPr>
        <w:t>c</w:t>
        <w:tab/>
      </w:r>
      <w:r>
        <w:rPr>
          <w:lang w:val="it-IT"/>
        </w:rPr>
        <w:t>finanziamenti aziendali</w:t>
      </w:r>
    </w:p>
    <w:p>
      <w:pPr>
        <w:pStyle w:val="Elenco"/>
        <w:tabs>
          <w:tab w:val="clear" w:pos="567"/>
        </w:tabs>
        <w:spacing w:before="200" w:after="60"/>
        <w:ind w:left="272" w:hanging="272"/>
        <w:contextualSpacing w:val="false"/>
        <w:rPr/>
      </w:pPr>
      <w:r>
        <w:rPr>
          <w:rStyle w:val="Testoprincipaletestobold"/>
          <w:b/>
          <w:szCs w:val="24"/>
          <w:lang w:val="it-IT"/>
        </w:rPr>
        <w:t>12.</w:t>
      </w:r>
      <w:r>
        <w:rPr>
          <w:rStyle w:val="Testoprincipaletestobold"/>
          <w:szCs w:val="24"/>
          <w:lang w:val="it-IT"/>
        </w:rPr>
        <w:tab/>
      </w:r>
      <w:r>
        <w:rPr>
          <w:lang w:val="it-IT"/>
        </w:rPr>
        <w:t>Le rimanenze di servizi</w:t>
      </w:r>
    </w:p>
    <w:p>
      <w:pPr>
        <w:pStyle w:val="Elenco"/>
        <w:tabs>
          <w:tab w:val="clear" w:pos="567"/>
        </w:tabs>
        <w:ind w:left="284" w:hanging="284"/>
        <w:rPr/>
      </w:pPr>
      <w:r>
        <w:rPr>
          <w:b/>
          <w:lang w:val="it-IT"/>
        </w:rPr>
        <w:t>a</w:t>
        <w:tab/>
      </w:r>
      <w:r>
        <w:rPr>
          <w:lang w:val="it-IT"/>
        </w:rPr>
        <w:t>rappresentano fattori produttivi immateriali a lungo ciclo di utilizzo</w:t>
      </w:r>
    </w:p>
    <w:p>
      <w:pPr>
        <w:pStyle w:val="Elenco"/>
        <w:tabs>
          <w:tab w:val="clear" w:pos="567"/>
        </w:tabs>
        <w:ind w:left="284" w:hanging="284"/>
        <w:rPr/>
      </w:pPr>
      <w:r>
        <w:rPr>
          <w:b/>
          <w:lang w:val="it-IT"/>
        </w:rPr>
        <w:t>b</w:t>
        <w:tab/>
      </w:r>
      <w:r>
        <w:rPr>
          <w:lang w:val="it-IT"/>
        </w:rPr>
        <w:t>costituiscono fattori produttivi immateriali a breve ciclo di utilizzo</w:t>
      </w:r>
    </w:p>
    <w:p>
      <w:pPr>
        <w:pStyle w:val="Elenco"/>
        <w:tabs>
          <w:tab w:val="clear" w:pos="567"/>
        </w:tabs>
        <w:ind w:left="284" w:hanging="284"/>
        <w:rPr/>
      </w:pPr>
      <w:r>
        <w:rPr>
          <w:b/>
          <w:lang w:val="it-IT"/>
        </w:rPr>
        <w:t>c</w:t>
        <w:tab/>
      </w:r>
      <w:r>
        <w:rPr>
          <w:lang w:val="it-IT"/>
        </w:rPr>
        <w:t>non esistono</w:t>
      </w:r>
    </w:p>
    <w:p>
      <w:pPr>
        <w:pStyle w:val="Para"/>
        <w:rPr>
          <w:b/>
          <w:b/>
          <w:lang w:val="it-IT"/>
        </w:rPr>
      </w:pPr>
      <w:r>
        <w:rPr>
          <w:b/>
          <w:lang w:val="it-IT"/>
        </w:rPr>
        <w:t>Correlazione (punto c)</w:t>
      </w:r>
    </w:p>
    <w:p>
      <w:pPr>
        <w:pStyle w:val="Para"/>
        <w:rPr>
          <w:i/>
          <w:i/>
          <w:lang w:val="it-IT"/>
        </w:rPr>
      </w:pPr>
      <w:r>
        <w:rPr>
          <w:i/>
        </w:rPr>
        <w:t>Correla gli elementi relativi al sistema informativo della Info Tech S.n.c</w:t>
      </w:r>
      <w:r>
        <w:rPr>
          <w:rStyle w:val="Testoprincipaletestoitalic"/>
          <w:i/>
          <w:szCs w:val="24"/>
          <w:lang w:val="it-IT"/>
        </w:rPr>
        <w:t>.</w:t>
      </w:r>
    </w:p>
    <w:p>
      <w:pPr>
        <w:pStyle w:val="Normal"/>
        <w:spacing w:before="280" w:after="280"/>
        <w:ind w:left="284" w:hanging="284"/>
        <w:rPr/>
      </w:pPr>
      <w:r>
        <w:rPr>
          <w:rFonts w:cs="Times New Roman" w:ascii="Times New Roman" w:hAnsi="Times New Roman"/>
          <w:b/>
          <w:sz w:val="24"/>
          <w:szCs w:val="24"/>
          <w:lang w:val="it-IT"/>
        </w:rPr>
        <w:t>a</w:t>
        <w:tab/>
      </w:r>
      <w:r>
        <w:rPr>
          <w:rFonts w:cs="Times New Roman" w:ascii="Times New Roman" w:hAnsi="Times New Roman"/>
          <w:sz w:val="24"/>
          <w:szCs w:val="24"/>
          <w:lang w:val="it-IT"/>
        </w:rPr>
        <w:t>oggetto delle rilevazioni</w:t>
      </w:r>
    </w:p>
    <w:p>
      <w:pPr>
        <w:pStyle w:val="Normal"/>
        <w:spacing w:before="280" w:after="280"/>
        <w:ind w:left="284" w:hanging="284"/>
        <w:rPr/>
      </w:pPr>
      <w:r>
        <w:rPr>
          <w:rFonts w:cs="Times New Roman" w:ascii="Times New Roman" w:hAnsi="Times New Roman"/>
          <w:b/>
          <w:sz w:val="24"/>
          <w:szCs w:val="24"/>
          <w:lang w:val="it-IT"/>
        </w:rPr>
        <w:t>b</w:t>
        <w:tab/>
      </w:r>
      <w:r>
        <w:rPr>
          <w:rFonts w:cs="Times New Roman" w:ascii="Times New Roman" w:hAnsi="Times New Roman"/>
          <w:sz w:val="24"/>
          <w:szCs w:val="24"/>
          <w:lang w:val="it-IT"/>
        </w:rPr>
        <w:t>copia delle fatture emesse</w:t>
      </w:r>
    </w:p>
    <w:p>
      <w:pPr>
        <w:pStyle w:val="Normal"/>
        <w:spacing w:before="280" w:after="280"/>
        <w:ind w:left="284" w:hanging="284"/>
        <w:rPr/>
      </w:pPr>
      <w:r>
        <w:rPr>
          <w:rFonts w:cs="Times New Roman" w:ascii="Times New Roman" w:hAnsi="Times New Roman"/>
          <w:b/>
          <w:sz w:val="24"/>
          <w:szCs w:val="24"/>
          <w:lang w:val="it-IT"/>
        </w:rPr>
        <w:t>c</w:t>
        <w:tab/>
      </w:r>
      <w:r>
        <w:rPr>
          <w:rFonts w:cs="Times New Roman" w:ascii="Times New Roman" w:hAnsi="Times New Roman"/>
          <w:sz w:val="24"/>
          <w:szCs w:val="24"/>
          <w:lang w:val="it-IT"/>
        </w:rPr>
        <w:t>bolla di carico</w:t>
      </w:r>
    </w:p>
    <w:p>
      <w:pPr>
        <w:pStyle w:val="Normal"/>
        <w:spacing w:before="280" w:after="280"/>
        <w:ind w:left="284" w:hanging="284"/>
        <w:rPr>
          <w:rFonts w:ascii="Times New Roman" w:hAnsi="Times New Roman" w:cs="Times New Roman"/>
          <w:sz w:val="24"/>
          <w:szCs w:val="24"/>
          <w:lang w:val="it-IT"/>
        </w:rPr>
      </w:pPr>
      <w:r>
        <w:rPr>
          <w:rFonts w:cs="Times New Roman" w:ascii="Times New Roman" w:hAnsi="Times New Roman"/>
          <w:b/>
          <w:sz w:val="24"/>
          <w:szCs w:val="24"/>
          <w:lang w:val="it-IT"/>
        </w:rPr>
        <w:t>d</w:t>
        <w:tab/>
      </w:r>
      <w:r>
        <w:rPr>
          <w:rFonts w:cs="Times New Roman" w:ascii="Times New Roman" w:hAnsi="Times New Roman"/>
          <w:sz w:val="24"/>
          <w:szCs w:val="24"/>
          <w:lang w:val="it-IT"/>
        </w:rPr>
        <w:t>contabilità generale</w:t>
      </w:r>
    </w:p>
    <w:p>
      <w:pPr>
        <w:pStyle w:val="Normal"/>
        <w:spacing w:before="280" w:after="200"/>
        <w:ind w:left="360" w:hanging="360"/>
        <w:rPr/>
      </w:pPr>
      <w:r>
        <w:rPr>
          <w:rFonts w:cs="Times New Roman" w:ascii="Times New Roman" w:hAnsi="Times New Roman"/>
          <w:b/>
          <w:sz w:val="24"/>
          <w:szCs w:val="24"/>
          <w:lang w:val="it-IT"/>
        </w:rPr>
        <w:t>1.</w:t>
        <w:tab/>
      </w:r>
      <w:r>
        <w:rPr>
          <w:rFonts w:cs="Times New Roman" w:ascii="Times New Roman" w:hAnsi="Times New Roman"/>
          <w:sz w:val="24"/>
          <w:szCs w:val="24"/>
          <w:lang w:val="it-IT"/>
        </w:rPr>
        <w:t>documenti di prova</w:t>
      </w:r>
    </w:p>
    <w:p>
      <w:pPr>
        <w:pStyle w:val="Normal"/>
        <w:spacing w:before="280" w:after="200"/>
        <w:ind w:left="360" w:hanging="360"/>
        <w:rPr/>
      </w:pPr>
      <w:r>
        <w:rPr>
          <w:rFonts w:cs="Times New Roman" w:ascii="Times New Roman" w:hAnsi="Times New Roman"/>
          <w:b/>
          <w:sz w:val="24"/>
          <w:szCs w:val="24"/>
          <w:lang w:val="it-IT"/>
        </w:rPr>
        <w:t>2.</w:t>
        <w:tab/>
      </w:r>
      <w:r>
        <w:rPr>
          <w:rFonts w:cs="Times New Roman" w:ascii="Times New Roman" w:hAnsi="Times New Roman"/>
          <w:sz w:val="24"/>
          <w:szCs w:val="24"/>
          <w:lang w:val="it-IT"/>
        </w:rPr>
        <w:t>sistema di scritture tra loro collegate</w:t>
      </w:r>
    </w:p>
    <w:p>
      <w:pPr>
        <w:pStyle w:val="Normal"/>
        <w:spacing w:before="280" w:after="200"/>
        <w:ind w:left="360" w:hanging="360"/>
        <w:rPr/>
      </w:pPr>
      <w:r>
        <w:rPr>
          <w:rFonts w:cs="Times New Roman" w:ascii="Times New Roman" w:hAnsi="Times New Roman"/>
          <w:b/>
          <w:sz w:val="24"/>
          <w:szCs w:val="24"/>
          <w:lang w:val="it-IT"/>
        </w:rPr>
        <w:t>3.</w:t>
        <w:tab/>
      </w:r>
      <w:r>
        <w:rPr>
          <w:rFonts w:cs="Times New Roman" w:ascii="Times New Roman" w:hAnsi="Times New Roman"/>
          <w:sz w:val="24"/>
          <w:szCs w:val="24"/>
          <w:lang w:val="it-IT"/>
        </w:rPr>
        <w:t>fatti di gestione e fenomeni di mercato</w:t>
      </w:r>
    </w:p>
    <w:p>
      <w:pPr>
        <w:pStyle w:val="Normal"/>
        <w:spacing w:before="280" w:after="280"/>
        <w:ind w:left="360" w:hanging="360"/>
        <w:rPr>
          <w:rFonts w:ascii="Times New Roman" w:hAnsi="Times New Roman" w:cs="Times New Roman"/>
          <w:sz w:val="24"/>
          <w:szCs w:val="24"/>
          <w:lang w:val="it-IT"/>
        </w:rPr>
      </w:pPr>
      <w:r>
        <w:rPr>
          <w:rFonts w:cs="Times New Roman" w:ascii="Times New Roman" w:hAnsi="Times New Roman"/>
          <w:b/>
          <w:sz w:val="24"/>
          <w:szCs w:val="24"/>
          <w:lang w:val="it-IT"/>
        </w:rPr>
        <w:t>4.</w:t>
        <w:tab/>
      </w:r>
      <w:r>
        <w:rPr>
          <w:rFonts w:cs="Times New Roman" w:ascii="Times New Roman" w:hAnsi="Times New Roman"/>
          <w:sz w:val="24"/>
          <w:szCs w:val="24"/>
          <w:lang w:val="it-IT"/>
        </w:rPr>
        <w:t>documenti di autorizzazione</w:t>
      </w:r>
    </w:p>
    <w:tbl>
      <w:tblPr>
        <w:tblW w:w="5495" w:type="dxa"/>
        <w:jc w:val="left"/>
        <w:tblInd w:w="-113" w:type="dxa"/>
        <w:tblLayout w:type="fixed"/>
        <w:tblCellMar>
          <w:top w:w="0" w:type="dxa"/>
          <w:left w:w="108" w:type="dxa"/>
          <w:bottom w:w="0" w:type="dxa"/>
          <w:right w:w="108" w:type="dxa"/>
        </w:tblCellMar>
      </w:tblPr>
      <w:tblGrid>
        <w:gridCol w:w="1242"/>
        <w:gridCol w:w="1560"/>
        <w:gridCol w:w="1275"/>
        <w:gridCol w:w="1418"/>
      </w:tblGrid>
      <w:tr>
        <w:trPr/>
        <w:tc>
          <w:tcPr>
            <w:tcW w:w="1242" w:type="dxa"/>
            <w:tcBorders>
              <w:top w:val="single" w:sz="4" w:space="0" w:color="000000"/>
              <w:left w:val="single" w:sz="4" w:space="0" w:color="000000"/>
              <w:bottom w:val="single" w:sz="4" w:space="0" w:color="000000"/>
              <w:right w:val="single" w:sz="4" w:space="0" w:color="000000"/>
            </w:tcBorders>
          </w:tcPr>
          <w:p>
            <w:pPr>
              <w:pStyle w:val="TableHead"/>
              <w:spacing w:before="0" w:after="60"/>
              <w:jc w:val="center"/>
              <w:rPr/>
            </w:pPr>
            <w:r>
              <w:rPr/>
              <w:t>A</w:t>
            </w:r>
          </w:p>
        </w:tc>
        <w:tc>
          <w:tcPr>
            <w:tcW w:w="1560" w:type="dxa"/>
            <w:tcBorders>
              <w:top w:val="single" w:sz="4" w:space="0" w:color="000000"/>
              <w:left w:val="single" w:sz="4" w:space="0" w:color="000000"/>
              <w:bottom w:val="single" w:sz="4" w:space="0" w:color="000000"/>
              <w:right w:val="single" w:sz="4" w:space="0" w:color="000000"/>
            </w:tcBorders>
          </w:tcPr>
          <w:p>
            <w:pPr>
              <w:pStyle w:val="TableHead"/>
              <w:spacing w:before="0" w:after="60"/>
              <w:jc w:val="center"/>
              <w:rPr/>
            </w:pPr>
            <w:r>
              <w:rPr/>
              <w:t>B</w:t>
            </w:r>
          </w:p>
        </w:tc>
        <w:tc>
          <w:tcPr>
            <w:tcW w:w="1275" w:type="dxa"/>
            <w:tcBorders>
              <w:top w:val="single" w:sz="4" w:space="0" w:color="000000"/>
              <w:left w:val="single" w:sz="4" w:space="0" w:color="000000"/>
              <w:bottom w:val="single" w:sz="4" w:space="0" w:color="000000"/>
              <w:right w:val="single" w:sz="4" w:space="0" w:color="000000"/>
            </w:tcBorders>
          </w:tcPr>
          <w:p>
            <w:pPr>
              <w:pStyle w:val="TableHead"/>
              <w:spacing w:before="0" w:after="60"/>
              <w:jc w:val="center"/>
              <w:rPr/>
            </w:pPr>
            <w:r>
              <w:rPr/>
              <w:t>C</w:t>
            </w:r>
          </w:p>
        </w:tc>
        <w:tc>
          <w:tcPr>
            <w:tcW w:w="1418" w:type="dxa"/>
            <w:tcBorders>
              <w:top w:val="single" w:sz="4" w:space="0" w:color="000000"/>
              <w:left w:val="single" w:sz="4" w:space="0" w:color="000000"/>
              <w:bottom w:val="single" w:sz="4" w:space="0" w:color="000000"/>
              <w:right w:val="single" w:sz="4" w:space="0" w:color="000000"/>
            </w:tcBorders>
          </w:tcPr>
          <w:p>
            <w:pPr>
              <w:pStyle w:val="TableHead"/>
              <w:spacing w:before="0" w:after="60"/>
              <w:jc w:val="center"/>
              <w:rPr/>
            </w:pPr>
            <w:r>
              <w:rPr/>
              <w:t>D</w:t>
            </w:r>
          </w:p>
        </w:tc>
      </w:tr>
      <w:tr>
        <w:trPr/>
        <w:tc>
          <w:tcPr>
            <w:tcW w:w="1242" w:type="dxa"/>
            <w:tcBorders>
              <w:top w:val="single" w:sz="4" w:space="0" w:color="000000"/>
              <w:left w:val="single" w:sz="4" w:space="0" w:color="000000"/>
              <w:bottom w:val="single" w:sz="4" w:space="0" w:color="000000"/>
              <w:right w:val="single" w:sz="4" w:space="0" w:color="000000"/>
            </w:tcBorders>
          </w:tcPr>
          <w:p>
            <w:pPr>
              <w:pStyle w:val="TableBody"/>
              <w:spacing w:before="0" w:after="60"/>
              <w:rPr/>
            </w:pPr>
            <w:r>
              <w:rPr/>
              <w:t>………</w:t>
            </w:r>
          </w:p>
        </w:tc>
        <w:tc>
          <w:tcPr>
            <w:tcW w:w="1560" w:type="dxa"/>
            <w:tcBorders>
              <w:top w:val="single" w:sz="4" w:space="0" w:color="000000"/>
              <w:left w:val="single" w:sz="4" w:space="0" w:color="000000"/>
              <w:bottom w:val="single" w:sz="4" w:space="0" w:color="000000"/>
              <w:right w:val="single" w:sz="4" w:space="0" w:color="000000"/>
            </w:tcBorders>
          </w:tcPr>
          <w:p>
            <w:pPr>
              <w:pStyle w:val="TableBody"/>
              <w:spacing w:before="0" w:after="60"/>
              <w:rPr/>
            </w:pPr>
            <w:r>
              <w:rPr/>
              <w:t>………</w:t>
            </w:r>
          </w:p>
        </w:tc>
        <w:tc>
          <w:tcPr>
            <w:tcW w:w="1275" w:type="dxa"/>
            <w:tcBorders>
              <w:top w:val="single" w:sz="4" w:space="0" w:color="000000"/>
              <w:left w:val="single" w:sz="4" w:space="0" w:color="000000"/>
              <w:bottom w:val="single" w:sz="4" w:space="0" w:color="000000"/>
              <w:right w:val="single" w:sz="4" w:space="0" w:color="000000"/>
            </w:tcBorders>
          </w:tcPr>
          <w:p>
            <w:pPr>
              <w:pStyle w:val="TableBody"/>
              <w:spacing w:before="0" w:after="60"/>
              <w:rPr/>
            </w:pPr>
            <w:r>
              <w:rPr/>
              <w:t>………</w:t>
            </w:r>
          </w:p>
        </w:tc>
        <w:tc>
          <w:tcPr>
            <w:tcW w:w="1418" w:type="dxa"/>
            <w:tcBorders>
              <w:top w:val="single" w:sz="4" w:space="0" w:color="000000"/>
              <w:left w:val="single" w:sz="4" w:space="0" w:color="000000"/>
              <w:bottom w:val="single" w:sz="4" w:space="0" w:color="000000"/>
              <w:right w:val="single" w:sz="4" w:space="0" w:color="000000"/>
            </w:tcBorders>
          </w:tcPr>
          <w:p>
            <w:pPr>
              <w:pStyle w:val="TableBody"/>
              <w:spacing w:before="0" w:after="60"/>
              <w:rPr/>
            </w:pPr>
            <w:r>
              <w:rPr/>
              <w:t>………</w:t>
            </w:r>
          </w:p>
        </w:tc>
      </w:tr>
    </w:tbl>
    <w:p>
      <w:pPr>
        <w:pStyle w:val="Para"/>
        <w:rPr>
          <w:b/>
          <w:b/>
        </w:rPr>
      </w:pPr>
      <w:r>
        <w:rPr>
          <w:rStyle w:val="Testoprincipaletestobold"/>
          <w:b/>
        </w:rPr>
        <w:t>Determinazione importo del denaro in cassa (punto d)</w:t>
      </w:r>
    </w:p>
    <w:p>
      <w:pPr>
        <w:pStyle w:val="Para"/>
        <w:rPr>
          <w:lang w:val="it-IT"/>
        </w:rPr>
      </w:pPr>
      <w:r>
        <w:rPr>
          <w:lang w:val="it-IT"/>
        </w:rPr>
        <w:t>....………………………………………………………………………………………………</w:t>
      </w:r>
    </w:p>
    <w:p>
      <w:pPr>
        <w:pStyle w:val="Para"/>
        <w:rPr>
          <w:lang w:val="it-IT"/>
        </w:rPr>
      </w:pPr>
      <w:r>
        <w:rPr>
          <w:lang w:val="it-IT"/>
        </w:rPr>
        <w:t>…………………………………………………………………………………………………</w:t>
      </w:r>
    </w:p>
    <w:p>
      <w:pPr>
        <w:pStyle w:val="Para"/>
        <w:rPr/>
      </w:pPr>
      <w:r>
        <w:rPr>
          <w:rStyle w:val="Testoprincipaletestobold"/>
          <w:b/>
          <w:szCs w:val="24"/>
          <w:lang w:val="it-IT"/>
        </w:rPr>
        <w:t>Compilazione tabella per calcolare l’importo della fattura di vendita</w:t>
      </w:r>
      <w:r>
        <w:rPr/>
        <w:t xml:space="preserve"> (punto e)</w:t>
      </w:r>
    </w:p>
    <w:tbl>
      <w:tblPr>
        <w:tblW w:w="9242" w:type="dxa"/>
        <w:jc w:val="left"/>
        <w:tblInd w:w="-113" w:type="dxa"/>
        <w:tblLayout w:type="fixed"/>
        <w:tblCellMar>
          <w:top w:w="0" w:type="dxa"/>
          <w:left w:w="108" w:type="dxa"/>
          <w:bottom w:w="0" w:type="dxa"/>
          <w:right w:w="108" w:type="dxa"/>
        </w:tblCellMar>
      </w:tblPr>
      <w:tblGrid>
        <w:gridCol w:w="2310"/>
        <w:gridCol w:w="2310"/>
        <w:gridCol w:w="2311"/>
        <w:gridCol w:w="2311"/>
      </w:tblGrid>
      <w:tr>
        <w:trPr/>
        <w:tc>
          <w:tcPr>
            <w:tcW w:w="2310" w:type="dxa"/>
            <w:tcBorders>
              <w:top w:val="single" w:sz="4" w:space="0" w:color="000000"/>
              <w:left w:val="single" w:sz="4" w:space="0" w:color="000000"/>
              <w:bottom w:val="single" w:sz="4" w:space="0" w:color="000000"/>
              <w:right w:val="single" w:sz="4" w:space="0" w:color="000000"/>
            </w:tcBorders>
          </w:tcPr>
          <w:p>
            <w:pPr>
              <w:pStyle w:val="TableHead"/>
              <w:spacing w:before="0" w:after="60"/>
              <w:jc w:val="center"/>
              <w:rPr>
                <w:lang w:val="it-IT"/>
              </w:rPr>
            </w:pPr>
            <w:r>
              <w:rPr/>
              <w:t>Quantità</w:t>
            </w:r>
          </w:p>
        </w:tc>
        <w:tc>
          <w:tcPr>
            <w:tcW w:w="2310" w:type="dxa"/>
            <w:tcBorders>
              <w:top w:val="single" w:sz="4" w:space="0" w:color="000000"/>
              <w:left w:val="single" w:sz="4" w:space="0" w:color="000000"/>
              <w:bottom w:val="single" w:sz="4" w:space="0" w:color="000000"/>
              <w:right w:val="single" w:sz="4" w:space="0" w:color="000000"/>
            </w:tcBorders>
          </w:tcPr>
          <w:p>
            <w:pPr>
              <w:pStyle w:val="TableHead"/>
              <w:spacing w:before="0" w:after="60"/>
              <w:jc w:val="center"/>
              <w:rPr>
                <w:lang w:val="it-IT"/>
              </w:rPr>
            </w:pPr>
            <w:r>
              <w:rPr/>
              <w:t>Descrizione</w:t>
            </w:r>
          </w:p>
        </w:tc>
        <w:tc>
          <w:tcPr>
            <w:tcW w:w="2311" w:type="dxa"/>
            <w:tcBorders>
              <w:top w:val="single" w:sz="4" w:space="0" w:color="000000"/>
              <w:left w:val="single" w:sz="4" w:space="0" w:color="000000"/>
              <w:bottom w:val="single" w:sz="4" w:space="0" w:color="000000"/>
              <w:right w:val="single" w:sz="4" w:space="0" w:color="000000"/>
            </w:tcBorders>
          </w:tcPr>
          <w:p>
            <w:pPr>
              <w:pStyle w:val="TableHead"/>
              <w:spacing w:before="0" w:after="60"/>
              <w:jc w:val="center"/>
              <w:rPr>
                <w:lang w:val="it-IT"/>
              </w:rPr>
            </w:pPr>
            <w:r>
              <w:rPr/>
              <w:t>Prezzo</w:t>
            </w:r>
          </w:p>
        </w:tc>
        <w:tc>
          <w:tcPr>
            <w:tcW w:w="2311" w:type="dxa"/>
            <w:tcBorders>
              <w:top w:val="single" w:sz="4" w:space="0" w:color="000000"/>
              <w:left w:val="single" w:sz="4" w:space="0" w:color="000000"/>
              <w:bottom w:val="single" w:sz="4" w:space="0" w:color="000000"/>
              <w:right w:val="single" w:sz="4" w:space="0" w:color="000000"/>
            </w:tcBorders>
          </w:tcPr>
          <w:p>
            <w:pPr>
              <w:pStyle w:val="TableHead"/>
              <w:spacing w:before="0" w:after="60"/>
              <w:jc w:val="center"/>
              <w:rPr>
                <w:lang w:val="it-IT"/>
              </w:rPr>
            </w:pPr>
            <w:r>
              <w:rPr/>
              <w:t>Importo</w:t>
            </w:r>
          </w:p>
        </w:tc>
      </w:tr>
      <w:tr>
        <w:trPr/>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r>
      <w:tr>
        <w:trPr/>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r>
      <w:tr>
        <w:trPr/>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r>
      <w:tr>
        <w:trPr/>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r>
      <w:tr>
        <w:trPr/>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r>
      <w:tr>
        <w:trPr/>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r>
      <w:tr>
        <w:trPr/>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0"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c>
          <w:tcPr>
            <w:tcW w:w="2311" w:type="dxa"/>
            <w:tcBorders>
              <w:top w:val="single" w:sz="4" w:space="0" w:color="000000"/>
              <w:left w:val="single" w:sz="4" w:space="0" w:color="000000"/>
              <w:bottom w:val="single" w:sz="4" w:space="0" w:color="000000"/>
              <w:right w:val="single" w:sz="4" w:space="0" w:color="000000"/>
            </w:tcBorders>
          </w:tcPr>
          <w:p>
            <w:pPr>
              <w:pStyle w:val="TableBody"/>
              <w:snapToGrid w:val="false"/>
              <w:spacing w:before="0" w:after="60"/>
              <w:rPr>
                <w:lang w:val="it-IT"/>
              </w:rPr>
            </w:pPr>
            <w:r>
              <w:rPr>
                <w:lang w:val="it-IT"/>
              </w:rPr>
            </w:r>
          </w:p>
        </w:tc>
      </w:tr>
    </w:tbl>
    <w:p>
      <w:pPr>
        <w:pStyle w:val="Normal"/>
        <w:jc w:val="center"/>
        <w:rPr>
          <w:rFonts w:ascii="Times New Roman" w:hAnsi="Times New Roman" w:cs="Times New Roman"/>
          <w:sz w:val="24"/>
          <w:szCs w:val="24"/>
          <w:lang w:val="it-IT"/>
        </w:rPr>
      </w:pPr>
      <w:r>
        <w:rPr>
          <w:rFonts w:cs="Times New Roman" w:ascii="Times New Roman" w:hAnsi="Times New Roman"/>
          <w:sz w:val="24"/>
          <w:szCs w:val="24"/>
          <w:lang w:val="it-IT"/>
        </w:rPr>
      </w:r>
    </w:p>
    <w:p>
      <w:pPr>
        <w:pStyle w:val="Para"/>
        <w:rPr>
          <w:b/>
          <w:b/>
          <w:lang w:val="it-IT"/>
        </w:rPr>
      </w:pPr>
      <w:r>
        <w:rPr>
          <w:b/>
          <w:lang w:val="it-IT"/>
        </w:rPr>
        <w:t>Assegno bancario (punto f)</w:t>
      </w:r>
    </w:p>
    <w:p>
      <w:pPr>
        <w:pStyle w:val="Para"/>
        <w:rPr>
          <w:lang w:val="it-IT"/>
        </w:rPr>
      </w:pPr>
      <w:r>
        <w:rPr>
          <w:szCs w:val="24"/>
          <w:lang w:val="it-IT"/>
        </w:rPr>
        <w:drawing>
          <wp:inline distT="0" distB="0" distL="0" distR="0">
            <wp:extent cx="4949825" cy="1895475"/>
            <wp:effectExtent l="0" t="0" r="0" b="0"/>
            <wp:docPr id="1" name="Immagin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1" descr=""/>
                    <pic:cNvPicPr>
                      <a:picLocks noChangeAspect="1" noChangeArrowheads="1"/>
                    </pic:cNvPicPr>
                  </pic:nvPicPr>
                  <pic:blipFill>
                    <a:blip r:embed="rId2"/>
                    <a:stretch>
                      <a:fillRect/>
                    </a:stretch>
                  </pic:blipFill>
                  <pic:spPr bwMode="auto">
                    <a:xfrm>
                      <a:off x="0" y="0"/>
                      <a:ext cx="4949825" cy="1895475"/>
                    </a:xfrm>
                    <a:prstGeom prst="rect">
                      <a:avLst/>
                    </a:prstGeom>
                    <a:ln w="6350">
                      <a:solidFill>
                        <a:srgbClr val="000000"/>
                      </a:solidFill>
                    </a:ln>
                  </pic:spPr>
                </pic:pic>
              </a:graphicData>
            </a:graphic>
          </wp:inline>
        </w:drawing>
      </w:r>
    </w:p>
    <w:p>
      <w:pPr>
        <w:pStyle w:val="Para"/>
        <w:rPr>
          <w:lang w:val="it-IT"/>
        </w:rPr>
      </w:pPr>
      <w:r>
        <w:rPr>
          <w:b/>
          <w:lang w:val="it-IT"/>
        </w:rPr>
        <w:t>Tratt(punto g)</w:t>
      </w:r>
    </w:p>
    <w:p>
      <w:pPr>
        <w:pStyle w:val="Colonninotitoletticolonnino"/>
        <w:jc w:val="center"/>
        <w:rPr>
          <w:rFonts w:ascii="Times New Roman" w:hAnsi="Times New Roman" w:cs="Times New Roman"/>
          <w:sz w:val="24"/>
          <w:szCs w:val="24"/>
          <w:lang w:val="it-IT"/>
        </w:rPr>
      </w:pPr>
      <w:r>
        <w:rPr>
          <w:rFonts w:cs="Times New Roman" w:ascii="Times New Roman" w:hAnsi="Times New Roman"/>
          <w:sz w:val="24"/>
          <w:szCs w:val="24"/>
          <w:lang w:val="it-IT"/>
        </w:rPr>
        <w:drawing>
          <wp:inline distT="0" distB="0" distL="0" distR="0">
            <wp:extent cx="4961890" cy="1999615"/>
            <wp:effectExtent l="0" t="0" r="0" b="0"/>
            <wp:docPr id="2"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2" descr=""/>
                    <pic:cNvPicPr>
                      <a:picLocks noChangeAspect="1" noChangeArrowheads="1"/>
                    </pic:cNvPicPr>
                  </pic:nvPicPr>
                  <pic:blipFill>
                    <a:blip r:embed="rId3"/>
                    <a:stretch>
                      <a:fillRect/>
                    </a:stretch>
                  </pic:blipFill>
                  <pic:spPr bwMode="auto">
                    <a:xfrm>
                      <a:off x="0" y="0"/>
                      <a:ext cx="4961890" cy="1999615"/>
                    </a:xfrm>
                    <a:prstGeom prst="rect">
                      <a:avLst/>
                    </a:prstGeom>
                    <a:ln w="6350">
                      <a:solidFill>
                        <a:srgbClr val="000000"/>
                      </a:solidFill>
                    </a:ln>
                  </pic:spPr>
                </pic:pic>
              </a:graphicData>
            </a:graphic>
          </wp:inline>
        </w:drawing>
      </w:r>
    </w:p>
    <w:p>
      <w:pPr>
        <w:pStyle w:val="Normal"/>
        <w:jc w:val="center"/>
        <w:rPr>
          <w:rFonts w:ascii="Times New Roman" w:hAnsi="Times New Roman" w:cs="Times New Roman"/>
          <w:sz w:val="24"/>
          <w:szCs w:val="24"/>
          <w:lang w:val="it-IT"/>
        </w:rPr>
      </w:pPr>
      <w:r>
        <w:rPr>
          <w:rFonts w:cs="Times New Roman" w:ascii="Times New Roman" w:hAnsi="Times New Roman"/>
          <w:sz w:val="24"/>
          <w:szCs w:val="24"/>
          <w:lang w:val="it-IT"/>
        </w:rPr>
        <w:drawing>
          <wp:inline distT="0" distB="0" distL="0" distR="0">
            <wp:extent cx="4961890" cy="1895475"/>
            <wp:effectExtent l="0" t="0" r="0" b="0"/>
            <wp:docPr id="3" name="Immagin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3" descr=""/>
                    <pic:cNvPicPr>
                      <a:picLocks noChangeAspect="1" noChangeArrowheads="1"/>
                    </pic:cNvPicPr>
                  </pic:nvPicPr>
                  <pic:blipFill>
                    <a:blip r:embed="rId4"/>
                    <a:stretch>
                      <a:fillRect/>
                    </a:stretch>
                  </pic:blipFill>
                  <pic:spPr bwMode="auto">
                    <a:xfrm>
                      <a:off x="0" y="0"/>
                      <a:ext cx="4961890" cy="1895475"/>
                    </a:xfrm>
                    <a:prstGeom prst="rect">
                      <a:avLst/>
                    </a:prstGeom>
                    <a:ln w="6350">
                      <a:solidFill>
                        <a:srgbClr val="000000"/>
                      </a:solidFill>
                    </a:ln>
                  </pic:spPr>
                </pic:pic>
              </a:graphicData>
            </a:graphic>
          </wp:inline>
        </w:drawing>
      </w:r>
    </w:p>
    <w:p>
      <w:pPr>
        <w:pStyle w:val="Para"/>
        <w:rPr>
          <w:b/>
          <w:b/>
          <w:lang w:val="it-IT"/>
        </w:rPr>
      </w:pPr>
      <w:r>
        <w:rPr>
          <w:b/>
          <w:lang w:val="it-IT"/>
        </w:rPr>
        <w:t>Vero o falso(punto h)</w:t>
      </w:r>
    </w:p>
    <w:p>
      <w:pPr>
        <w:pStyle w:val="Para"/>
        <w:rPr>
          <w:i/>
          <w:i/>
        </w:rPr>
      </w:pPr>
      <w:r>
        <w:rPr>
          <w:rStyle w:val="Testoprincipaletestoitalic"/>
          <w:i/>
        </w:rPr>
        <w:t>Indica se ciascuna delle affermazioni è vera o falsa</w:t>
      </w:r>
    </w:p>
    <w:p>
      <w:pPr>
        <w:pStyle w:val="Elenco"/>
        <w:tabs>
          <w:tab w:val="left" w:pos="567" w:leader="none"/>
          <w:tab w:val="left" w:pos="8505" w:leader="none"/>
          <w:tab w:val="left" w:pos="8647" w:leader="none"/>
        </w:tabs>
        <w:spacing w:before="120" w:after="120"/>
        <w:ind w:left="0" w:hanging="0"/>
        <w:contextualSpacing w:val="false"/>
        <w:rPr/>
      </w:pPr>
      <w:r>
        <w:rPr>
          <w:b/>
        </w:rPr>
        <w:t>a.</w:t>
      </w:r>
      <w:r>
        <w:rPr/>
        <w:tab/>
        <w:t>I debiti verso fornitori sorgono in seguito a un regolamento differito degli acquisti</w:t>
        <w:tab/>
      </w:r>
      <w:r>
        <w:rPr>
          <w:b/>
        </w:rPr>
        <w:t>V F</w:t>
      </w:r>
    </w:p>
    <w:p>
      <w:pPr>
        <w:pStyle w:val="Elenco"/>
        <w:tabs>
          <w:tab w:val="left" w:pos="567" w:leader="none"/>
          <w:tab w:val="left" w:pos="8505" w:leader="none"/>
        </w:tabs>
        <w:spacing w:before="120" w:after="120"/>
        <w:ind w:left="0" w:hanging="0"/>
        <w:contextualSpacing w:val="false"/>
        <w:rPr/>
      </w:pPr>
      <w:r>
        <w:rPr>
          <w:b/>
        </w:rPr>
        <w:t>b.</w:t>
      </w:r>
      <w:r>
        <w:rPr/>
        <w:tab/>
        <w:t>La signora Gianna Pavoni è il girante della girata effettuata il 15 dicembre</w:t>
        <w:tab/>
      </w:r>
      <w:r>
        <w:rPr>
          <w:b/>
        </w:rPr>
        <w:t>V F</w:t>
      </w:r>
    </w:p>
    <w:p>
      <w:pPr>
        <w:pStyle w:val="Elenco"/>
        <w:tabs>
          <w:tab w:val="left" w:pos="567" w:leader="none"/>
          <w:tab w:val="left" w:pos="8505" w:leader="none"/>
          <w:tab w:val="left" w:pos="8647" w:leader="none"/>
        </w:tabs>
        <w:spacing w:before="120" w:after="120"/>
        <w:ind w:left="0" w:hanging="0"/>
        <w:contextualSpacing w:val="false"/>
        <w:rPr/>
      </w:pPr>
      <w:r>
        <w:rPr>
          <w:b/>
        </w:rPr>
        <w:t>c.</w:t>
      </w:r>
      <w:r>
        <w:rPr/>
        <w:tab/>
        <w:t>La cambiale tratta dalla signora Pavoni è un titolo nominativo in quanto vi è indicato il nome del beneficiario, cioè la signora Pavoni stessa</w:t>
        <w:tab/>
      </w:r>
      <w:r>
        <w:rPr>
          <w:b/>
        </w:rPr>
        <w:t>V F</w:t>
      </w:r>
    </w:p>
    <w:p>
      <w:pPr>
        <w:pStyle w:val="Elenco"/>
        <w:tabs>
          <w:tab w:val="left" w:pos="567" w:leader="none"/>
          <w:tab w:val="left" w:pos="8505" w:leader="none"/>
          <w:tab w:val="left" w:pos="8647" w:leader="none"/>
        </w:tabs>
        <w:spacing w:before="120" w:after="120"/>
        <w:ind w:left="0" w:hanging="0"/>
        <w:contextualSpacing w:val="false"/>
        <w:rPr/>
      </w:pPr>
      <w:r>
        <w:rPr>
          <w:b/>
        </w:rPr>
        <w:t>d.</w:t>
      </w:r>
      <w:r>
        <w:rPr/>
        <w:tab/>
        <w:t>La cambiale tratta è un titolo letterale e autonomo</w:t>
        <w:tab/>
      </w:r>
      <w:r>
        <w:rPr>
          <w:b/>
        </w:rPr>
        <w:t>V F</w:t>
      </w:r>
    </w:p>
    <w:p>
      <w:pPr>
        <w:pStyle w:val="Elenco"/>
        <w:tabs>
          <w:tab w:val="left" w:pos="567" w:leader="none"/>
          <w:tab w:val="left" w:pos="8505" w:leader="none"/>
          <w:tab w:val="left" w:pos="8647" w:leader="none"/>
        </w:tabs>
        <w:spacing w:before="120" w:after="120"/>
        <w:ind w:left="0" w:hanging="0"/>
        <w:contextualSpacing w:val="false"/>
        <w:rPr/>
      </w:pPr>
      <w:r>
        <w:rPr>
          <w:b/>
        </w:rPr>
        <w:t>e.</w:t>
      </w:r>
      <w:r>
        <w:rPr/>
        <w:tab/>
        <w:t>Se la Info Tech S.n.c. ha necessità di fondi liquidi prima della scadenza della tratta, può smobilizzare l’effetto scontandolo presso una banca che ne anticipa l’importo di euro 8.000 al netto dello sconto</w:t>
        <w:tab/>
      </w:r>
      <w:r>
        <w:rPr>
          <w:b/>
        </w:rPr>
        <w:t>V F</w:t>
      </w:r>
    </w:p>
    <w:p>
      <w:pPr>
        <w:pStyle w:val="Elenco"/>
        <w:tabs>
          <w:tab w:val="left" w:pos="567" w:leader="none"/>
          <w:tab w:val="left" w:pos="8505" w:leader="none"/>
        </w:tabs>
        <w:spacing w:before="120" w:after="120"/>
        <w:ind w:left="0" w:hanging="0"/>
        <w:contextualSpacing w:val="false"/>
        <w:rPr/>
      </w:pPr>
      <w:r>
        <w:rPr>
          <w:b/>
        </w:rPr>
        <w:t>f.</w:t>
      </w:r>
      <w:r>
        <w:rPr/>
        <w:tab/>
        <w:t>La banca trattaria dell’assegno rilasciato da Lauri è la banca della Info Tech</w:t>
        <w:tab/>
      </w:r>
      <w:r>
        <w:rPr>
          <w:b/>
        </w:rPr>
        <w:t>V F</w:t>
      </w:r>
    </w:p>
    <w:p>
      <w:pPr>
        <w:pStyle w:val="Elenco"/>
        <w:tabs>
          <w:tab w:val="left" w:pos="567" w:leader="none"/>
          <w:tab w:val="left" w:pos="8505" w:leader="none"/>
        </w:tabs>
        <w:spacing w:before="120" w:after="120"/>
        <w:ind w:left="0" w:hanging="0"/>
        <w:contextualSpacing w:val="false"/>
        <w:rPr/>
      </w:pPr>
      <w:r>
        <w:rPr>
          <w:b/>
        </w:rPr>
        <w:t>g.</w:t>
      </w:r>
      <w:r>
        <w:rPr/>
        <w:tab/>
        <w:t>L’assegno bancario deve essere presentato per l’incasso dalla Info Tech S.n.c. entro dieci anni dalla data di emissione</w:t>
        <w:tab/>
      </w:r>
      <w:r>
        <w:rPr>
          <w:b/>
        </w:rPr>
        <w:t>V F</w:t>
      </w:r>
    </w:p>
    <w:p>
      <w:pPr>
        <w:pStyle w:val="Elenco"/>
        <w:tabs>
          <w:tab w:val="left" w:pos="567" w:leader="none"/>
          <w:tab w:val="left" w:pos="8505" w:leader="none"/>
          <w:tab w:val="left" w:pos="8647" w:leader="none"/>
        </w:tabs>
        <w:spacing w:before="120" w:after="120"/>
        <w:ind w:left="0" w:hanging="0"/>
        <w:contextualSpacing w:val="false"/>
        <w:rPr/>
      </w:pPr>
      <w:r>
        <w:rPr>
          <w:b/>
        </w:rPr>
        <w:t>h.</w:t>
      </w:r>
      <w:r>
        <w:rPr/>
        <w:tab/>
        <w:t>Se non vi è apposta la clausola ‘‘non trasferibile’’, l’assegno bancario rilasciato dal signor Lauri può essere girato dalla Info Tech S.n.c. a un proprio fornitore divenendo, in tal modo, un assegno circolare</w:t>
        <w:tab/>
      </w:r>
      <w:r>
        <w:rPr>
          <w:b/>
        </w:rPr>
        <w:t>V F</w:t>
      </w:r>
    </w:p>
    <w:p>
      <w:pPr>
        <w:pStyle w:val="Elenco"/>
        <w:tabs>
          <w:tab w:val="left" w:pos="567" w:leader="none"/>
          <w:tab w:val="left" w:pos="8505" w:leader="none"/>
          <w:tab w:val="left" w:pos="8647" w:leader="none"/>
        </w:tabs>
        <w:spacing w:before="120" w:after="120"/>
        <w:ind w:left="0" w:hanging="0"/>
        <w:contextualSpacing w:val="false"/>
        <w:rPr/>
      </w:pPr>
      <w:r>
        <w:rPr>
          <w:b/>
        </w:rPr>
        <w:t>i.</w:t>
      </w:r>
      <w:r>
        <w:rPr/>
        <w:tab/>
        <w:t>L’assegno bancario, in considerazione dell’importo per cui è rilasciato, deve essere emesso con la dicitura ‘‘da accreditare’’</w:t>
        <w:tab/>
      </w:r>
      <w:r>
        <w:rPr>
          <w:b/>
        </w:rPr>
        <w:t>V F</w:t>
      </w:r>
    </w:p>
    <w:p>
      <w:pPr>
        <w:pStyle w:val="Elenco"/>
        <w:tabs>
          <w:tab w:val="left" w:pos="567" w:leader="none"/>
          <w:tab w:val="left" w:pos="8505" w:leader="none"/>
          <w:tab w:val="left" w:pos="8647" w:leader="none"/>
        </w:tabs>
        <w:spacing w:before="120" w:after="120"/>
        <w:ind w:left="0" w:hanging="0"/>
        <w:contextualSpacing w:val="false"/>
        <w:rPr/>
      </w:pPr>
      <w:r>
        <w:rPr>
          <w:b/>
        </w:rPr>
        <w:t>j.</w:t>
      </w:r>
      <w:r>
        <w:rPr/>
        <w:tab/>
        <w:t>La Info Tech S.n.c. potrebbe pagare i propri fornitori dando disposizione alla propria banca di effettuare un giroconto a loro favore, nel caso sussistano le disponibilità sufficienti depositate sul conto corrente bancario</w:t>
        <w:tab/>
      </w:r>
      <w:r>
        <w:rPr>
          <w:b/>
        </w:rPr>
        <w:t>V F</w:t>
      </w:r>
    </w:p>
    <w:p>
      <w:pPr>
        <w:pStyle w:val="Elenco"/>
        <w:tabs>
          <w:tab w:val="left" w:pos="567" w:leader="none"/>
          <w:tab w:val="left" w:pos="8505" w:leader="none"/>
          <w:tab w:val="left" w:pos="8647" w:leader="none"/>
        </w:tabs>
        <w:spacing w:before="120" w:after="120"/>
        <w:ind w:left="0" w:hanging="0"/>
        <w:contextualSpacing w:val="false"/>
        <w:rPr/>
      </w:pPr>
      <w:r>
        <w:rPr>
          <w:b/>
        </w:rPr>
        <w:t>k.</w:t>
      </w:r>
      <w:r>
        <w:rPr/>
        <w:tab/>
        <w:t>La Info Tech S.n.c. potrebbe pagare i propri debiti rilasciando ricevute elettroniche di incasso (dette anche Ri.Ba.)</w:t>
        <w:tab/>
      </w:r>
      <w:r>
        <w:rPr>
          <w:b/>
        </w:rPr>
        <w:t>V F</w:t>
      </w:r>
    </w:p>
    <w:p>
      <w:pPr>
        <w:pStyle w:val="Elenco"/>
        <w:tabs>
          <w:tab w:val="left" w:pos="567" w:leader="none"/>
          <w:tab w:val="left" w:pos="8505" w:leader="none"/>
          <w:tab w:val="left" w:pos="8647" w:leader="none"/>
        </w:tabs>
        <w:spacing w:before="120" w:after="120"/>
        <w:ind w:left="0" w:hanging="0"/>
        <w:contextualSpacing w:val="false"/>
        <w:rPr/>
      </w:pPr>
      <w:r>
        <w:rPr>
          <w:b/>
        </w:rPr>
        <w:t>l.</w:t>
      </w:r>
      <w:r>
        <w:rPr/>
        <w:tab/>
        <w:t>Le Ri.Ba. sono titoli di credito</w:t>
      </w:r>
      <w:r>
        <w:rPr>
          <w:lang w:val="it-IT"/>
        </w:rPr>
        <w:t xml:space="preserve"> al pari delle cambiali</w:t>
      </w:r>
      <w:r>
        <w:rPr/>
        <w:tab/>
      </w:r>
      <w:r>
        <w:rPr>
          <w:b/>
        </w:rPr>
        <w:t>V F</w:t>
      </w:r>
    </w:p>
    <w:p>
      <w:pPr>
        <w:pStyle w:val="Para"/>
        <w:rPr>
          <w:b/>
          <w:b/>
        </w:rPr>
      </w:pPr>
      <w:r>
        <w:rPr>
          <w:b/>
        </w:rPr>
        <w:t>Completamento (punto j)</w:t>
      </w:r>
    </w:p>
    <w:p>
      <w:pPr>
        <w:pStyle w:val="Para"/>
        <w:rPr>
          <w:i/>
          <w:i/>
        </w:rPr>
      </w:pPr>
      <w:r>
        <w:rPr>
          <w:rStyle w:val="Testoprincipaletestoitalic"/>
          <w:i/>
        </w:rPr>
        <w:t>Completa le affermazioni relative al Conto economico dell’azienda</w:t>
      </w:r>
    </w:p>
    <w:p>
      <w:pPr>
        <w:pStyle w:val="Elenco"/>
        <w:tabs>
          <w:tab w:val="clear" w:pos="567"/>
        </w:tabs>
        <w:ind w:left="360" w:hanging="360"/>
        <w:rPr/>
      </w:pPr>
      <w:r>
        <w:rPr>
          <w:b/>
          <w:lang w:val="it-IT"/>
        </w:rPr>
        <w:t>1.</w:t>
        <w:tab/>
      </w:r>
      <w:r>
        <w:rPr>
          <w:lang w:val="it-IT"/>
        </w:rPr>
        <w:t>Il Conto economico evidenzia la progressiva formazione del ................... d’...................</w:t>
      </w:r>
    </w:p>
    <w:p>
      <w:pPr>
        <w:pStyle w:val="Elenco"/>
        <w:tabs>
          <w:tab w:val="clear" w:pos="567"/>
        </w:tabs>
        <w:ind w:left="360" w:hanging="360"/>
        <w:rPr/>
      </w:pPr>
      <w:r>
        <w:rPr>
          <w:b/>
          <w:lang w:val="it-IT"/>
        </w:rPr>
        <w:t>2.</w:t>
        <w:tab/>
      </w:r>
      <w:r>
        <w:rPr>
          <w:lang w:val="it-IT"/>
        </w:rPr>
        <w:t>I ................... derivanti dalla vendita dei computer e dalle prestazioni di servizi forniti ai clienti concorrono a formare il ................... della ...................</w:t>
      </w:r>
    </w:p>
    <w:p>
      <w:pPr>
        <w:pStyle w:val="Elenco"/>
        <w:tabs>
          <w:tab w:val="clear" w:pos="567"/>
        </w:tabs>
        <w:ind w:left="360" w:hanging="360"/>
        <w:rPr/>
      </w:pPr>
      <w:r>
        <w:rPr>
          <w:b/>
          <w:lang w:val="it-IT"/>
        </w:rPr>
        <w:t>3.</w:t>
        <w:tab/>
      </w:r>
      <w:r>
        <w:rPr>
          <w:lang w:val="it-IT"/>
        </w:rPr>
        <w:t>Il costo di acquisto dei beni venduti e l’affitto del negozio affluiscono tra i ................... della ...................</w:t>
      </w:r>
    </w:p>
    <w:p>
      <w:pPr>
        <w:pStyle w:val="Elenco"/>
        <w:tabs>
          <w:tab w:val="clear" w:pos="567"/>
        </w:tabs>
        <w:ind w:left="360" w:hanging="360"/>
        <w:rPr/>
      </w:pPr>
      <w:r>
        <w:rPr>
          <w:b/>
          <w:lang w:val="it-IT"/>
        </w:rPr>
        <w:t>4.</w:t>
        <w:tab/>
      </w:r>
      <w:r>
        <w:rPr>
          <w:lang w:val="it-IT"/>
        </w:rPr>
        <w:t>Tra gli oneri finanziari vengono inseriti gli ................... passivi pagati ai fornitori e alle banche.</w:t>
      </w:r>
    </w:p>
    <w:p>
      <w:pPr>
        <w:pStyle w:val="Elenco"/>
        <w:tabs>
          <w:tab w:val="clear" w:pos="567"/>
        </w:tabs>
        <w:ind w:left="360" w:hanging="360"/>
        <w:rPr/>
      </w:pPr>
      <w:r>
        <w:rPr>
          <w:b/>
          <w:lang w:val="it-IT"/>
        </w:rPr>
        <w:t>5.</w:t>
        <w:tab/>
      </w:r>
      <w:r>
        <w:rPr>
          <w:lang w:val="it-IT"/>
        </w:rPr>
        <w:t>L’incremento delle rimanenze di ................... e di imballaggi viene inserito tra i Costi della produzione con segno ...................</w:t>
      </w:r>
    </w:p>
    <w:p>
      <w:pPr>
        <w:pStyle w:val="Elenco"/>
        <w:tabs>
          <w:tab w:val="clear" w:pos="567"/>
        </w:tabs>
        <w:ind w:left="360" w:hanging="360"/>
        <w:rPr/>
      </w:pPr>
      <w:r>
        <w:rPr>
          <w:b/>
          <w:lang w:val="it-IT"/>
        </w:rPr>
        <w:t>6.</w:t>
        <w:tab/>
      </w:r>
      <w:r>
        <w:rPr>
          <w:lang w:val="it-IT"/>
        </w:rPr>
        <w:t>Eventuali proventi e oneri .......................... derivano da operazioni estranee al normale svolgimento della gestione.</w:t>
      </w:r>
    </w:p>
    <w:p>
      <w:pPr>
        <w:pStyle w:val="Elenco"/>
        <w:ind w:left="360" w:hanging="360"/>
        <w:rPr>
          <w:lang w:val="it-IT"/>
        </w:rPr>
      </w:pPr>
      <w:r>
        <w:rPr>
          <w:b/>
          <w:lang w:val="it-IT"/>
        </w:rPr>
        <w:t>7.</w:t>
        <w:tab/>
      </w:r>
      <w:r>
        <w:rPr>
          <w:lang w:val="it-IT"/>
        </w:rPr>
        <w:t>Il risultato dell’esercizio è al netto delle ...................</w:t>
      </w:r>
    </w:p>
    <w:p>
      <w:pPr>
        <w:pStyle w:val="HeadLevel2"/>
        <w:rPr/>
      </w:pPr>
      <w:r>
        <w:rPr/>
        <w:t>GRIGLIE DI RACCORDO ITEM/ COMPETENZE</w:t>
      </w:r>
    </w:p>
    <w:p>
      <w:pPr>
        <w:pStyle w:val="Para"/>
        <w:rPr/>
      </w:pPr>
      <w:r>
        <w:rPr>
          <w:lang w:val="it-IT"/>
        </w:rPr>
        <w:t xml:space="preserve">Le conoscenze e le abilità richieste per la </w:t>
      </w:r>
      <w:r>
        <w:rPr>
          <w:rStyle w:val="Testoprincipaletestobold"/>
          <w:b/>
          <w:szCs w:val="24"/>
          <w:lang w:val="it-IT"/>
        </w:rPr>
        <w:t>competenza</w:t>
      </w:r>
      <w:r>
        <w:rPr>
          <w:lang w:val="it-IT"/>
        </w:rPr>
        <w:t xml:space="preserve"> ‘‘</w:t>
      </w:r>
      <w:r>
        <w:rPr>
          <w:rStyle w:val="Testoprincipaletestoitalic"/>
          <w:i/>
          <w:szCs w:val="24"/>
          <w:lang w:val="it-IT"/>
        </w:rPr>
        <w:t>Riconoscere le caratteristiche essenziali del sistema socio-economico per orientarsi nel tessuto produttivo del proprio territorio</w:t>
      </w:r>
      <w:r>
        <w:rPr>
          <w:lang w:val="it-IT"/>
        </w:rPr>
        <w:t>’’ sono contenute nelle seguenti richieste:</w:t>
      </w:r>
    </w:p>
    <w:tbl>
      <w:tblPr>
        <w:tblW w:w="8188" w:type="dxa"/>
        <w:jc w:val="left"/>
        <w:tblInd w:w="-113" w:type="dxa"/>
        <w:tblLayout w:type="fixed"/>
        <w:tblCellMar>
          <w:top w:w="0" w:type="dxa"/>
          <w:left w:w="108" w:type="dxa"/>
          <w:bottom w:w="0" w:type="dxa"/>
          <w:right w:w="108" w:type="dxa"/>
        </w:tblCellMar>
      </w:tblPr>
      <w:tblGrid>
        <w:gridCol w:w="2376"/>
        <w:gridCol w:w="5812"/>
      </w:tblGrid>
      <w:tr>
        <w:trPr/>
        <w:tc>
          <w:tcPr>
            <w:tcW w:w="2376" w:type="dxa"/>
            <w:tcBorders>
              <w:top w:val="single" w:sz="4" w:space="0" w:color="000000"/>
              <w:left w:val="single" w:sz="4" w:space="0" w:color="000000"/>
              <w:bottom w:val="single" w:sz="4" w:space="0" w:color="000000"/>
              <w:right w:val="single" w:sz="4" w:space="0" w:color="000000"/>
            </w:tcBorders>
            <w:vAlign w:val="center"/>
          </w:tcPr>
          <w:p>
            <w:pPr>
              <w:pStyle w:val="TableHead"/>
              <w:spacing w:before="0" w:after="60"/>
              <w:jc w:val="center"/>
              <w:rPr/>
            </w:pPr>
            <w:r>
              <w:rPr/>
              <w:t>Item</w:t>
            </w:r>
          </w:p>
        </w:tc>
        <w:tc>
          <w:tcPr>
            <w:tcW w:w="5812" w:type="dxa"/>
            <w:tcBorders>
              <w:top w:val="single" w:sz="4" w:space="0" w:color="000000"/>
              <w:left w:val="single" w:sz="4" w:space="0" w:color="000000"/>
              <w:bottom w:val="single" w:sz="4" w:space="0" w:color="000000"/>
              <w:right w:val="single" w:sz="4" w:space="0" w:color="000000"/>
            </w:tcBorders>
            <w:vAlign w:val="center"/>
          </w:tcPr>
          <w:p>
            <w:pPr>
              <w:pStyle w:val="TableHead"/>
              <w:spacing w:before="0" w:after="60"/>
              <w:jc w:val="center"/>
              <w:rPr/>
            </w:pPr>
            <w:r>
              <w:rPr/>
              <w:t>Richiesta</w:t>
            </w:r>
          </w:p>
        </w:tc>
      </w:tr>
      <w:tr>
        <w:trPr/>
        <w:tc>
          <w:tcPr>
            <w:tcW w:w="2376"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jc w:val="center"/>
              <w:rPr/>
            </w:pPr>
            <w:r>
              <w:rPr/>
              <w:t>a</w:t>
            </w:r>
          </w:p>
        </w:tc>
        <w:tc>
          <w:tcPr>
            <w:tcW w:w="5812"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rPr/>
            </w:pPr>
            <w:r>
              <w:rPr/>
              <w:t>spiegare dove è più conveniente localizzare l’attività</w:t>
            </w:r>
          </w:p>
        </w:tc>
      </w:tr>
      <w:tr>
        <w:trPr/>
        <w:tc>
          <w:tcPr>
            <w:tcW w:w="2376"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jc w:val="center"/>
              <w:rPr/>
            </w:pPr>
            <w:r>
              <w:rPr/>
              <w:t>b</w:t>
            </w:r>
          </w:p>
        </w:tc>
        <w:tc>
          <w:tcPr>
            <w:tcW w:w="5812"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rPr/>
            </w:pPr>
            <w:r>
              <w:rPr/>
              <w:t>domande relative all’azienda (risposta multipla)</w:t>
            </w:r>
          </w:p>
        </w:tc>
      </w:tr>
      <w:tr>
        <w:trPr/>
        <w:tc>
          <w:tcPr>
            <w:tcW w:w="2376"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jc w:val="center"/>
              <w:rPr/>
            </w:pPr>
            <w:r>
              <w:rPr/>
              <w:t>c</w:t>
            </w:r>
          </w:p>
        </w:tc>
        <w:tc>
          <w:tcPr>
            <w:tcW w:w="5812"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rPr/>
            </w:pPr>
            <w:r>
              <w:rPr/>
              <w:t>elementi relativi al sistema informativo (correlazione)</w:t>
            </w:r>
          </w:p>
        </w:tc>
      </w:tr>
    </w:tbl>
    <w:p>
      <w:pPr>
        <w:pStyle w:val="Para"/>
        <w:rPr/>
      </w:pPr>
      <w:r>
        <w:rPr>
          <w:lang w:val="it-IT"/>
        </w:rPr>
        <w:t xml:space="preserve">Le conoscenze e le abilità richieste per la </w:t>
      </w:r>
      <w:r>
        <w:rPr>
          <w:rStyle w:val="Testoprincipaletestobold"/>
          <w:b/>
          <w:szCs w:val="24"/>
          <w:lang w:val="it-IT"/>
        </w:rPr>
        <w:t>competenza</w:t>
      </w:r>
      <w:r>
        <w:rPr>
          <w:lang w:val="it-IT"/>
        </w:rPr>
        <w:t xml:space="preserve"> </w:t>
      </w:r>
      <w:r>
        <w:rPr>
          <w:i/>
          <w:lang w:val="it-IT"/>
        </w:rPr>
        <w:t>‘‘</w:t>
      </w:r>
      <w:r>
        <w:rPr>
          <w:rStyle w:val="Testoprincipaletestoitalic"/>
          <w:i/>
          <w:szCs w:val="24"/>
          <w:lang w:val="it-IT"/>
        </w:rPr>
        <w:t>Individuare le strategie appropriate per la soluzione di problemi</w:t>
      </w:r>
      <w:r>
        <w:rPr>
          <w:lang w:val="it-IT"/>
        </w:rPr>
        <w:t>’’ sono contenute nelle seguenti richieste:</w:t>
      </w:r>
    </w:p>
    <w:tbl>
      <w:tblPr>
        <w:tblW w:w="9242" w:type="dxa"/>
        <w:jc w:val="left"/>
        <w:tblInd w:w="-113" w:type="dxa"/>
        <w:tblLayout w:type="fixed"/>
        <w:tblCellMar>
          <w:top w:w="0" w:type="dxa"/>
          <w:left w:w="108" w:type="dxa"/>
          <w:bottom w:w="0" w:type="dxa"/>
          <w:right w:w="108" w:type="dxa"/>
        </w:tblCellMar>
      </w:tblPr>
      <w:tblGrid>
        <w:gridCol w:w="4621"/>
        <w:gridCol w:w="4621"/>
      </w:tblGrid>
      <w:tr>
        <w:trPr/>
        <w:tc>
          <w:tcPr>
            <w:tcW w:w="4621" w:type="dxa"/>
            <w:tcBorders>
              <w:top w:val="single" w:sz="4" w:space="0" w:color="000000"/>
              <w:left w:val="single" w:sz="4" w:space="0" w:color="000000"/>
              <w:bottom w:val="single" w:sz="4" w:space="0" w:color="000000"/>
              <w:right w:val="single" w:sz="4" w:space="0" w:color="000000"/>
            </w:tcBorders>
            <w:vAlign w:val="center"/>
          </w:tcPr>
          <w:p>
            <w:pPr>
              <w:pStyle w:val="TableHead"/>
              <w:spacing w:before="0" w:after="60"/>
              <w:jc w:val="center"/>
              <w:rPr/>
            </w:pPr>
            <w:r>
              <w:rPr/>
              <w:t>Item</w:t>
            </w:r>
          </w:p>
        </w:tc>
        <w:tc>
          <w:tcPr>
            <w:tcW w:w="4621" w:type="dxa"/>
            <w:tcBorders>
              <w:top w:val="single" w:sz="4" w:space="0" w:color="000000"/>
              <w:left w:val="single" w:sz="4" w:space="0" w:color="000000"/>
              <w:bottom w:val="single" w:sz="4" w:space="0" w:color="000000"/>
              <w:right w:val="single" w:sz="4" w:space="0" w:color="000000"/>
            </w:tcBorders>
            <w:vAlign w:val="center"/>
          </w:tcPr>
          <w:p>
            <w:pPr>
              <w:pStyle w:val="TableHead"/>
              <w:spacing w:before="0" w:after="60"/>
              <w:jc w:val="center"/>
              <w:rPr/>
            </w:pPr>
            <w:r>
              <w:rPr/>
              <w:t>Richiesta</w:t>
            </w:r>
          </w:p>
        </w:tc>
      </w:tr>
      <w:tr>
        <w:trPr/>
        <w:tc>
          <w:tcPr>
            <w:tcW w:w="4621"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jc w:val="center"/>
              <w:rPr/>
            </w:pPr>
            <w:r>
              <w:rPr/>
              <w:t>d</w:t>
            </w:r>
          </w:p>
        </w:tc>
        <w:tc>
          <w:tcPr>
            <w:tcW w:w="4621"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rPr/>
            </w:pPr>
            <w:r>
              <w:rPr/>
              <w:t>determinare l’importo del denaro in cassa</w:t>
            </w:r>
          </w:p>
        </w:tc>
      </w:tr>
      <w:tr>
        <w:trPr/>
        <w:tc>
          <w:tcPr>
            <w:tcW w:w="4621"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jc w:val="center"/>
              <w:rPr/>
            </w:pPr>
            <w:r>
              <w:rPr/>
              <w:t>e</w:t>
            </w:r>
          </w:p>
        </w:tc>
        <w:tc>
          <w:tcPr>
            <w:tcW w:w="4621"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rPr/>
            </w:pPr>
            <w:r>
              <w:rPr/>
              <w:t xml:space="preserve">* </w:t>
            </w:r>
            <w:r>
              <w:rPr>
                <w:color w:val="000000"/>
              </w:rPr>
              <w:t>compilare la tabella per calcolare l’importo della fattura di vendita (correttezza dei calcoli)</w:t>
            </w:r>
          </w:p>
        </w:tc>
      </w:tr>
      <w:tr>
        <w:trPr/>
        <w:tc>
          <w:tcPr>
            <w:tcW w:w="4621"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jc w:val="center"/>
              <w:rPr/>
            </w:pPr>
            <w:r>
              <w:rPr/>
              <w:t>f</w:t>
            </w:r>
          </w:p>
        </w:tc>
        <w:tc>
          <w:tcPr>
            <w:tcW w:w="4621"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rPr/>
            </w:pPr>
            <w:r>
              <w:rPr/>
              <w:t>** compilare l’assegno bancario (correttezza dell’importo)</w:t>
            </w:r>
          </w:p>
        </w:tc>
      </w:tr>
      <w:tr>
        <w:trPr/>
        <w:tc>
          <w:tcPr>
            <w:tcW w:w="4621"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jc w:val="center"/>
              <w:rPr/>
            </w:pPr>
            <w:r>
              <w:rPr/>
              <w:t>i</w:t>
            </w:r>
          </w:p>
        </w:tc>
        <w:tc>
          <w:tcPr>
            <w:tcW w:w="4621"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rPr/>
            </w:pPr>
            <w:r>
              <w:rPr/>
              <w:t>*** redigere lo Stato patrimoniale (correttezza degli importi inseriti)</w:t>
            </w:r>
          </w:p>
        </w:tc>
      </w:tr>
    </w:tbl>
    <w:p>
      <w:pPr>
        <w:pStyle w:val="Para"/>
        <w:rPr>
          <w:lang w:val="it-IT"/>
        </w:rPr>
      </w:pPr>
      <w:r>
        <w:rPr>
          <w:lang w:val="it-IT"/>
        </w:rPr>
        <w:t>N.B.: Le richieste contrassegnate da uno o più asterischi rientrano anche nella competenza di cui alla tabella successiva.</w:t>
      </w:r>
    </w:p>
    <w:p>
      <w:pPr>
        <w:pStyle w:val="Para"/>
        <w:rPr/>
      </w:pPr>
      <w:r>
        <w:rPr>
          <w:szCs w:val="24"/>
          <w:lang w:val="it-IT"/>
        </w:rPr>
        <w:t xml:space="preserve">Le conoscenze e le abilità richieste per la </w:t>
      </w:r>
      <w:r>
        <w:rPr>
          <w:rStyle w:val="Testoprincipaletestobold"/>
          <w:b/>
          <w:szCs w:val="24"/>
          <w:lang w:val="it-IT"/>
        </w:rPr>
        <w:t>competenza</w:t>
      </w:r>
      <w:r>
        <w:rPr>
          <w:szCs w:val="24"/>
          <w:lang w:val="it-IT"/>
        </w:rPr>
        <w:t xml:space="preserve"> ‘‘</w:t>
      </w:r>
      <w:r>
        <w:rPr>
          <w:rStyle w:val="Testoprincipaletestoitalic"/>
          <w:i/>
          <w:szCs w:val="24"/>
          <w:lang w:val="it-IT"/>
        </w:rPr>
        <w:t>Collocare l’esperienza personale in</w:t>
      </w:r>
      <w:r>
        <w:rPr>
          <w:rStyle w:val="Testoprincipaletestoitalic"/>
          <w:szCs w:val="24"/>
          <w:lang w:val="it-IT"/>
        </w:rPr>
        <w:t xml:space="preserve"> </w:t>
      </w:r>
      <w:r>
        <w:rPr>
          <w:rStyle w:val="Testoprincipaletestoitalic"/>
          <w:i/>
          <w:szCs w:val="24"/>
          <w:lang w:val="it-IT"/>
        </w:rPr>
        <w:t>un sistema di regole fondato sul reciproco riconoscimento dei diritti garantiti dalla Costituzione, a tutela della persona, della collettività e dell’ambiente</w:t>
      </w:r>
      <w:r>
        <w:rPr>
          <w:szCs w:val="24"/>
          <w:lang w:val="it-IT"/>
        </w:rPr>
        <w:t>’’ sono contenute nelle seguenti richieste:</w:t>
      </w:r>
    </w:p>
    <w:tbl>
      <w:tblPr>
        <w:tblW w:w="7479" w:type="dxa"/>
        <w:jc w:val="left"/>
        <w:tblInd w:w="-113" w:type="dxa"/>
        <w:tblLayout w:type="fixed"/>
        <w:tblCellMar>
          <w:top w:w="0" w:type="dxa"/>
          <w:left w:w="108" w:type="dxa"/>
          <w:bottom w:w="0" w:type="dxa"/>
          <w:right w:w="108" w:type="dxa"/>
        </w:tblCellMar>
      </w:tblPr>
      <w:tblGrid>
        <w:gridCol w:w="1384"/>
        <w:gridCol w:w="6095"/>
      </w:tblGrid>
      <w:tr>
        <w:trPr/>
        <w:tc>
          <w:tcPr>
            <w:tcW w:w="1384" w:type="dxa"/>
            <w:tcBorders>
              <w:top w:val="single" w:sz="4" w:space="0" w:color="000000"/>
              <w:left w:val="single" w:sz="4" w:space="0" w:color="000000"/>
              <w:bottom w:val="single" w:sz="4" w:space="0" w:color="000000"/>
              <w:right w:val="single" w:sz="4" w:space="0" w:color="000000"/>
            </w:tcBorders>
            <w:vAlign w:val="center"/>
          </w:tcPr>
          <w:p>
            <w:pPr>
              <w:pStyle w:val="TableHead"/>
              <w:spacing w:before="0" w:after="60"/>
              <w:jc w:val="center"/>
              <w:rPr/>
            </w:pPr>
            <w:r>
              <w:rPr/>
              <w:t>Item</w:t>
            </w:r>
          </w:p>
        </w:tc>
        <w:tc>
          <w:tcPr>
            <w:tcW w:w="6095" w:type="dxa"/>
            <w:tcBorders>
              <w:top w:val="single" w:sz="4" w:space="0" w:color="000000"/>
              <w:left w:val="single" w:sz="4" w:space="0" w:color="000000"/>
              <w:bottom w:val="single" w:sz="4" w:space="0" w:color="000000"/>
              <w:right w:val="single" w:sz="4" w:space="0" w:color="000000"/>
            </w:tcBorders>
            <w:vAlign w:val="center"/>
          </w:tcPr>
          <w:p>
            <w:pPr>
              <w:pStyle w:val="TableHead"/>
              <w:spacing w:before="0" w:after="60"/>
              <w:jc w:val="center"/>
              <w:rPr/>
            </w:pPr>
            <w:r>
              <w:rPr/>
              <w:t>Richiesta</w:t>
            </w:r>
          </w:p>
        </w:tc>
      </w:tr>
      <w:tr>
        <w:trPr/>
        <w:tc>
          <w:tcPr>
            <w:tcW w:w="1384"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jc w:val="center"/>
              <w:rPr/>
            </w:pPr>
            <w:r>
              <w:rPr/>
              <w:t>e</w:t>
            </w:r>
          </w:p>
        </w:tc>
        <w:tc>
          <w:tcPr>
            <w:tcW w:w="6095"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rPr/>
            </w:pPr>
            <w:r>
              <w:rPr/>
              <w:t xml:space="preserve">* </w:t>
            </w:r>
            <w:r>
              <w:rPr>
                <w:color w:val="000000"/>
              </w:rPr>
              <w:t>compilare la tabella per calcolare l’importo della fattura di vendita (correttezza nell’inserimento delle voci)</w:t>
            </w:r>
          </w:p>
        </w:tc>
      </w:tr>
      <w:tr>
        <w:trPr/>
        <w:tc>
          <w:tcPr>
            <w:tcW w:w="1384"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jc w:val="center"/>
              <w:rPr/>
            </w:pPr>
            <w:r>
              <w:rPr/>
              <w:t>f</w:t>
            </w:r>
          </w:p>
        </w:tc>
        <w:tc>
          <w:tcPr>
            <w:tcW w:w="6095" w:type="dxa"/>
            <w:tcBorders>
              <w:top w:val="single" w:sz="4" w:space="0" w:color="000000"/>
              <w:left w:val="single" w:sz="4" w:space="0" w:color="000000"/>
              <w:bottom w:val="single" w:sz="4" w:space="0" w:color="000000"/>
              <w:right w:val="single" w:sz="4" w:space="0" w:color="000000"/>
            </w:tcBorders>
            <w:vAlign w:val="center"/>
          </w:tcPr>
          <w:p>
            <w:pPr>
              <w:pStyle w:val="TableBody"/>
              <w:rPr/>
            </w:pPr>
            <w:r>
              <w:rPr/>
              <w:t>** compilare l’assegno bancario (presenza di tutti</w:t>
            </w:r>
          </w:p>
          <w:p>
            <w:pPr>
              <w:pStyle w:val="TableBody"/>
              <w:spacing w:before="0" w:after="60"/>
              <w:rPr/>
            </w:pPr>
            <w:r>
              <w:rPr/>
              <w:t>gli elementi)</w:t>
            </w:r>
          </w:p>
        </w:tc>
      </w:tr>
      <w:tr>
        <w:trPr/>
        <w:tc>
          <w:tcPr>
            <w:tcW w:w="1384"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jc w:val="center"/>
              <w:rPr/>
            </w:pPr>
            <w:r>
              <w:rPr/>
              <w:t>g</w:t>
            </w:r>
          </w:p>
        </w:tc>
        <w:tc>
          <w:tcPr>
            <w:tcW w:w="6095"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rPr/>
            </w:pPr>
            <w:r>
              <w:rPr/>
              <w:t>compilare il recto e il verso della tratta</w:t>
            </w:r>
          </w:p>
        </w:tc>
      </w:tr>
      <w:tr>
        <w:trPr/>
        <w:tc>
          <w:tcPr>
            <w:tcW w:w="1384"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jc w:val="center"/>
              <w:rPr/>
            </w:pPr>
            <w:r>
              <w:rPr/>
              <w:t>h</w:t>
            </w:r>
          </w:p>
        </w:tc>
        <w:tc>
          <w:tcPr>
            <w:tcW w:w="6095"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rPr/>
            </w:pPr>
            <w:r>
              <w:rPr/>
              <w:t>domande relative agli strumenti di regolamento degli scambi (vero o falso)</w:t>
            </w:r>
          </w:p>
        </w:tc>
      </w:tr>
      <w:tr>
        <w:trPr/>
        <w:tc>
          <w:tcPr>
            <w:tcW w:w="1384"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jc w:val="center"/>
              <w:rPr/>
            </w:pPr>
            <w:r>
              <w:rPr/>
              <w:t>i</w:t>
            </w:r>
          </w:p>
        </w:tc>
        <w:tc>
          <w:tcPr>
            <w:tcW w:w="6095"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rPr/>
            </w:pPr>
            <w:r>
              <w:rPr/>
              <w:t>*** redigere lo Stato patrimoniale (correttezza della struttura e dell’inserimento delle voci)</w:t>
            </w:r>
          </w:p>
        </w:tc>
      </w:tr>
      <w:tr>
        <w:trPr/>
        <w:tc>
          <w:tcPr>
            <w:tcW w:w="1384"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jc w:val="center"/>
              <w:rPr/>
            </w:pPr>
            <w:r>
              <w:rPr/>
              <w:t>j</w:t>
            </w:r>
          </w:p>
        </w:tc>
        <w:tc>
          <w:tcPr>
            <w:tcW w:w="6095" w:type="dxa"/>
            <w:tcBorders>
              <w:top w:val="single" w:sz="4" w:space="0" w:color="000000"/>
              <w:left w:val="single" w:sz="4" w:space="0" w:color="000000"/>
              <w:bottom w:val="single" w:sz="4" w:space="0" w:color="000000"/>
              <w:right w:val="single" w:sz="4" w:space="0" w:color="000000"/>
            </w:tcBorders>
            <w:vAlign w:val="center"/>
          </w:tcPr>
          <w:p>
            <w:pPr>
              <w:pStyle w:val="TableBody"/>
              <w:spacing w:before="0" w:after="60"/>
              <w:rPr/>
            </w:pPr>
            <w:r>
              <w:rPr/>
              <w:t>affermazioni sul Conto economico (completamento)</w:t>
            </w:r>
          </w:p>
        </w:tc>
      </w:tr>
    </w:tbl>
    <w:p>
      <w:pPr>
        <w:pStyle w:val="Esercizitestoesercizinorientro"/>
        <w:spacing w:before="280" w:after="280"/>
        <w:rPr>
          <w:rFonts w:ascii="Times New Roman" w:hAnsi="Times New Roman" w:cs="Times New Roman"/>
          <w:sz w:val="24"/>
          <w:szCs w:val="24"/>
          <w:lang w:val="en-IN"/>
        </w:rPr>
      </w:pPr>
      <w:r>
        <w:rPr>
          <w:rFonts w:cs="Times New Roman" w:ascii="Times New Roman" w:hAnsi="Times New Roman"/>
          <w:sz w:val="24"/>
          <w:szCs w:val="24"/>
          <w:lang w:val="en-IN"/>
        </w:rPr>
      </w:r>
    </w:p>
    <w:sectPr>
      <w:type w:val="nextPage"/>
      <w:pgSz w:w="11906" w:h="16838"/>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auto"/>
    <w:pitch w:val="variable"/>
  </w:font>
  <w:font w:name="Cambria">
    <w:charset w:val="00"/>
    <w:family w:val="auto"/>
    <w:pitch w:val="variable"/>
  </w:font>
  <w:font w:name="Symbol">
    <w:charset w:val="02"/>
    <w:family w:val="auto"/>
    <w:pitch w:val="variable"/>
  </w:font>
  <w:font w:name="Courier New">
    <w:charset w:val="00"/>
    <w:family w:val="auto"/>
    <w:pitch w:val="variable"/>
  </w:font>
  <w:font w:name="Wingdings">
    <w:charset w:val="02"/>
    <w:family w:val="auto"/>
    <w:pitch w:val="variable"/>
  </w:font>
  <w:font w:name="Verdana">
    <w:charset w:val="00"/>
    <w:family w:val="auto"/>
    <w:pitch w:val="variable"/>
  </w:font>
  <w:font w:name="Arial Bold">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olo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10"/>
  <w:defaultTabStop w:val="720"/>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 w:val="24"/>
        <w:szCs w:val="24"/>
        <w:lang w:val="it-IT" w:eastAsia="zh-CN" w:bidi="hi-IN"/>
      </w:rPr>
    </w:rPrDefault>
    <w:pPrDefault>
      <w:pPr>
        <w:suppressAutoHyphens w:val="true"/>
      </w:pPr>
    </w:pPrDefault>
  </w:docDefaults>
  <w:style w:type="paragraph" w:styleId="Normal">
    <w:name w:val="Normal"/>
    <w:qFormat/>
    <w:pPr>
      <w:widowControl/>
      <w:bidi w:val="0"/>
      <w:spacing w:lineRule="auto" w:line="276" w:before="0" w:after="200"/>
    </w:pPr>
    <w:rPr>
      <w:rFonts w:ascii="Calibri" w:hAnsi="Calibri" w:eastAsia="Calibri" w:cs="Calibri"/>
      <w:color w:val="auto"/>
      <w:sz w:val="22"/>
      <w:szCs w:val="22"/>
      <w:lang w:val="en-US" w:bidi="ar-SA" w:eastAsia="zh-CN"/>
    </w:rPr>
  </w:style>
  <w:style w:type="paragraph" w:styleId="Titolo1">
    <w:name w:val="Heading 1"/>
    <w:basedOn w:val="Normal"/>
    <w:next w:val="Normal"/>
    <w:qFormat/>
    <w:pPr>
      <w:keepNext w:val="true"/>
      <w:numPr>
        <w:ilvl w:val="0"/>
        <w:numId w:val="1"/>
      </w:numPr>
      <w:spacing w:before="240" w:after="60"/>
      <w:outlineLvl w:val="0"/>
    </w:pPr>
    <w:rPr>
      <w:rFonts w:ascii="Cambria" w:hAnsi="Cambria" w:eastAsia="Times New Roman" w:cs="Cambria"/>
      <w:b/>
      <w:bCs/>
      <w:kern w:val="2"/>
      <w:sz w:val="32"/>
      <w:szCs w:val="32"/>
      <w:lang w:val="en-ZA"/>
    </w:rPr>
  </w:style>
  <w:style w:type="character" w:styleId="WW8Num1z0">
    <w:name w:val="WW8Num1z0"/>
    <w:qFormat/>
    <w:rPr>
      <w:rFonts w:ascii="Symbol" w:hAnsi="Symbol" w:cs="Symbol"/>
    </w:rPr>
  </w:style>
  <w:style w:type="character" w:styleId="WW8Num1z2">
    <w:name w:val="WW8Num1z2"/>
    <w:qFormat/>
    <w:rPr>
      <w:rFonts w:ascii="Courier New" w:hAnsi="Courier New" w:cs="Courier New"/>
    </w:rPr>
  </w:style>
  <w:style w:type="character" w:styleId="WW8Num1z3">
    <w:name w:val="WW8Num1z3"/>
    <w:qFormat/>
    <w:rPr>
      <w:rFonts w:ascii="Wingdings" w:hAnsi="Wingdings" w:cs="Wingdings"/>
    </w:rPr>
  </w:style>
  <w:style w:type="character" w:styleId="WW8Num2z0">
    <w:name w:val="WW8Num2z0"/>
    <w:qFormat/>
    <w:rPr>
      <w:b/>
    </w:rPr>
  </w:style>
  <w:style w:type="character" w:styleId="WW8Num3z0">
    <w:name w:val="WW8Num3z0"/>
    <w:qFormat/>
    <w:rPr>
      <w:b/>
    </w:rPr>
  </w:style>
  <w:style w:type="character" w:styleId="WW8Num4z0">
    <w:name w:val="WW8Num4z0"/>
    <w:qFormat/>
    <w:rPr>
      <w:rFonts w:ascii="Wingdings" w:hAnsi="Wingdings" w:cs="Wingdings"/>
    </w:rPr>
  </w:style>
  <w:style w:type="character" w:styleId="WW8Num4z1">
    <w:name w:val="WW8Num4z1"/>
    <w:qFormat/>
    <w:rPr>
      <w:rFonts w:ascii="Courier New" w:hAnsi="Courier New" w:cs="Courier New"/>
    </w:rPr>
  </w:style>
  <w:style w:type="character" w:styleId="WW8Num4z3">
    <w:name w:val="WW8Num4z3"/>
    <w:qFormat/>
    <w:rPr>
      <w:rFonts w:ascii="Symbol" w:hAnsi="Symbol" w:cs="Symbol"/>
    </w:rPr>
  </w:style>
  <w:style w:type="character" w:styleId="WW8Num5z0">
    <w:name w:val="WW8Num5z0"/>
    <w:qFormat/>
    <w:rPr>
      <w:b/>
    </w:rPr>
  </w:style>
  <w:style w:type="character" w:styleId="WW8Num6z0">
    <w:name w:val="WW8Num6z0"/>
    <w:qFormat/>
    <w:rPr>
      <w:b/>
    </w:rPr>
  </w:style>
  <w:style w:type="character" w:styleId="WW8Num7z0">
    <w:name w:val="WW8Num7z0"/>
    <w:qFormat/>
    <w:rPr>
      <w:b/>
    </w:rPr>
  </w:style>
  <w:style w:type="character" w:styleId="WW8Num8z0">
    <w:name w:val="WW8Num8z0"/>
    <w:qFormat/>
    <w:rPr>
      <w:rFonts w:ascii="Wingdings" w:hAnsi="Wingdings" w:cs="Wingdings"/>
    </w:rPr>
  </w:style>
  <w:style w:type="character" w:styleId="WW8Num8z1">
    <w:name w:val="WW8Num8z1"/>
    <w:qFormat/>
    <w:rPr>
      <w:rFonts w:ascii="Courier New" w:hAnsi="Courier New" w:cs="Courier New"/>
    </w:rPr>
  </w:style>
  <w:style w:type="character" w:styleId="WW8Num8z3">
    <w:name w:val="WW8Num8z3"/>
    <w:qFormat/>
    <w:rPr>
      <w:rFonts w:ascii="Symbol" w:hAnsi="Symbol" w:cs="Symbol"/>
    </w:rPr>
  </w:style>
  <w:style w:type="character" w:styleId="WW8Num9z0">
    <w:name w:val="WW8Num9z0"/>
    <w:qFormat/>
    <w:rPr/>
  </w:style>
  <w:style w:type="character" w:styleId="WW8Num10z0">
    <w:name w:val="WW8Num10z0"/>
    <w:qFormat/>
    <w:rPr>
      <w:b/>
    </w:rPr>
  </w:style>
  <w:style w:type="character" w:styleId="WW8Num13z0">
    <w:name w:val="WW8Num13z0"/>
    <w:qFormat/>
    <w:rPr>
      <w:b/>
    </w:rPr>
  </w:style>
  <w:style w:type="character" w:styleId="WW8Num15z0">
    <w:name w:val="WW8Num15z0"/>
    <w:qFormat/>
    <w:rPr>
      <w:b/>
    </w:rPr>
  </w:style>
  <w:style w:type="character" w:styleId="WW8Num16z0">
    <w:name w:val="WW8Num16z0"/>
    <w:qFormat/>
    <w:rPr>
      <w:b/>
    </w:rPr>
  </w:style>
  <w:style w:type="character" w:styleId="WW8Num17z0">
    <w:name w:val="WW8Num17z0"/>
    <w:qFormat/>
    <w:rPr>
      <w:b/>
    </w:rPr>
  </w:style>
  <w:style w:type="character" w:styleId="WW8Num18z0">
    <w:name w:val="WW8Num18z0"/>
    <w:qFormat/>
    <w:rPr>
      <w:b/>
    </w:rPr>
  </w:style>
  <w:style w:type="character" w:styleId="WW8Num19z0">
    <w:name w:val="WW8Num19z0"/>
    <w:qFormat/>
    <w:rPr>
      <w:rFonts w:ascii="Wingdings" w:hAnsi="Wingdings" w:cs="Wingdings"/>
    </w:rPr>
  </w:style>
  <w:style w:type="character" w:styleId="WW8Num19z1">
    <w:name w:val="WW8Num19z1"/>
    <w:qFormat/>
    <w:rPr>
      <w:rFonts w:ascii="Courier New" w:hAnsi="Courier New" w:cs="Courier New"/>
    </w:rPr>
  </w:style>
  <w:style w:type="character" w:styleId="WW8Num19z3">
    <w:name w:val="WW8Num19z3"/>
    <w:qFormat/>
    <w:rPr>
      <w:rFonts w:ascii="Symbol" w:hAnsi="Symbol" w:cs="Symbol"/>
    </w:rPr>
  </w:style>
  <w:style w:type="character" w:styleId="WW8Num20z0">
    <w:name w:val="WW8Num20z0"/>
    <w:qFormat/>
    <w:rPr>
      <w:rFonts w:ascii="Wingdings" w:hAnsi="Wingdings" w:cs="Wingdings"/>
    </w:rPr>
  </w:style>
  <w:style w:type="character" w:styleId="WW8Num20z1">
    <w:name w:val="WW8Num20z1"/>
    <w:qFormat/>
    <w:rPr>
      <w:rFonts w:ascii="Courier New" w:hAnsi="Courier New" w:cs="Courier New"/>
    </w:rPr>
  </w:style>
  <w:style w:type="character" w:styleId="WW8Num20z3">
    <w:name w:val="WW8Num20z3"/>
    <w:qFormat/>
    <w:rPr>
      <w:rFonts w:ascii="Symbol" w:hAnsi="Symbol" w:cs="Symbol"/>
    </w:rPr>
  </w:style>
  <w:style w:type="character" w:styleId="WW8Num21z0">
    <w:name w:val="WW8Num21z0"/>
    <w:qFormat/>
    <w:rPr/>
  </w:style>
  <w:style w:type="character" w:styleId="WW8Num22z0">
    <w:name w:val="WW8Num22z0"/>
    <w:qFormat/>
    <w:rPr>
      <w:b/>
    </w:rPr>
  </w:style>
  <w:style w:type="character" w:styleId="WW8Num23z0">
    <w:name w:val="WW8Num23z0"/>
    <w:qFormat/>
    <w:rPr/>
  </w:style>
  <w:style w:type="character" w:styleId="WW8Num25z0">
    <w:name w:val="WW8Num25z0"/>
    <w:qFormat/>
    <w:rPr>
      <w:b/>
    </w:rPr>
  </w:style>
  <w:style w:type="character" w:styleId="WW8Num26z0">
    <w:name w:val="WW8Num26z0"/>
    <w:qFormat/>
    <w:rPr>
      <w:b/>
    </w:rPr>
  </w:style>
  <w:style w:type="character" w:styleId="WW8Num27z0">
    <w:name w:val="WW8Num27z0"/>
    <w:qFormat/>
    <w:rPr>
      <w:b/>
    </w:rPr>
  </w:style>
  <w:style w:type="character" w:styleId="WW8Num28z0">
    <w:name w:val="WW8Num28z0"/>
    <w:qFormat/>
    <w:rPr>
      <w:b/>
    </w:rPr>
  </w:style>
  <w:style w:type="character" w:styleId="WW8Num30z0">
    <w:name w:val="WW8Num30z0"/>
    <w:qFormat/>
    <w:rPr/>
  </w:style>
  <w:style w:type="character" w:styleId="WW8Num32z0">
    <w:name w:val="WW8Num32z0"/>
    <w:qFormat/>
    <w:rPr>
      <w:b/>
    </w:rPr>
  </w:style>
  <w:style w:type="character" w:styleId="WW8Num33z0">
    <w:name w:val="WW8Num33z0"/>
    <w:qFormat/>
    <w:rPr/>
  </w:style>
  <w:style w:type="character" w:styleId="WW8Num34z0">
    <w:name w:val="WW8Num34z0"/>
    <w:qFormat/>
    <w:rPr>
      <w:b/>
    </w:rPr>
  </w:style>
  <w:style w:type="character" w:styleId="WW8Num35z0">
    <w:name w:val="WW8Num35z0"/>
    <w:qFormat/>
    <w:rPr>
      <w:rFonts w:ascii="Wingdings" w:hAnsi="Wingdings" w:cs="Wingdings"/>
    </w:rPr>
  </w:style>
  <w:style w:type="character" w:styleId="WW8Num35z1">
    <w:name w:val="WW8Num35z1"/>
    <w:qFormat/>
    <w:rPr>
      <w:rFonts w:ascii="Courier New" w:hAnsi="Courier New" w:cs="Courier New"/>
    </w:rPr>
  </w:style>
  <w:style w:type="character" w:styleId="WW8Num35z3">
    <w:name w:val="WW8Num35z3"/>
    <w:qFormat/>
    <w:rPr>
      <w:rFonts w:ascii="Symbol" w:hAnsi="Symbol" w:cs="Symbol"/>
    </w:rPr>
  </w:style>
  <w:style w:type="character" w:styleId="WW8Num36z0">
    <w:name w:val="WW8Num36z0"/>
    <w:qFormat/>
    <w:rPr>
      <w:rFonts w:ascii="Wingdings" w:hAnsi="Wingdings" w:cs="Wingdings"/>
    </w:rPr>
  </w:style>
  <w:style w:type="character" w:styleId="WW8Num36z1">
    <w:name w:val="WW8Num36z1"/>
    <w:qFormat/>
    <w:rPr>
      <w:rFonts w:ascii="Courier New" w:hAnsi="Courier New" w:cs="Courier New"/>
    </w:rPr>
  </w:style>
  <w:style w:type="character" w:styleId="WW8Num36z3">
    <w:name w:val="WW8Num36z3"/>
    <w:qFormat/>
    <w:rPr>
      <w:rFonts w:ascii="Symbol" w:hAnsi="Symbol" w:cs="Symbol"/>
    </w:rPr>
  </w:style>
  <w:style w:type="character" w:styleId="WW8Num37z0">
    <w:name w:val="WW8Num37z0"/>
    <w:qFormat/>
    <w:rPr>
      <w:rFonts w:ascii="Times New Roman" w:hAnsi="Times New Roman" w:eastAsia="Arial Unicode MS" w:cs="Times New Roman"/>
      <w:color w:val="000000"/>
    </w:rPr>
  </w:style>
  <w:style w:type="character" w:styleId="WW8Num37z1">
    <w:name w:val="WW8Num37z1"/>
    <w:qFormat/>
    <w:rPr>
      <w:rFonts w:ascii="Courier New" w:hAnsi="Courier New" w:cs="Courier New"/>
    </w:rPr>
  </w:style>
  <w:style w:type="character" w:styleId="WW8Num37z2">
    <w:name w:val="WW8Num37z2"/>
    <w:qFormat/>
    <w:rPr>
      <w:rFonts w:ascii="Wingdings" w:hAnsi="Wingdings" w:cs="Wingdings"/>
    </w:rPr>
  </w:style>
  <w:style w:type="character" w:styleId="WW8Num37z3">
    <w:name w:val="WW8Num37z3"/>
    <w:qFormat/>
    <w:rPr>
      <w:rFonts w:ascii="Symbol" w:hAnsi="Symbol" w:cs="Symbol"/>
    </w:rPr>
  </w:style>
  <w:style w:type="character" w:styleId="Caratterepredefinitoparagrafo">
    <w:name w:val="Carattere predefinito paragrafo"/>
    <w:qFormat/>
    <w:rPr/>
  </w:style>
  <w:style w:type="character" w:styleId="Charoverride1">
    <w:name w:val="charoverride-1"/>
    <w:basedOn w:val="Caratterepredefinitoparagrafo"/>
    <w:qFormat/>
    <w:rPr/>
  </w:style>
  <w:style w:type="character" w:styleId="Testoprincipaletestobold">
    <w:name w:val="testo-principale_testo---bold"/>
    <w:basedOn w:val="Caratterepredefinitoparagrafo"/>
    <w:qFormat/>
    <w:rPr/>
  </w:style>
  <w:style w:type="character" w:styleId="Testoprincipaletestobolditalic">
    <w:name w:val="testo-principale_testo---bold-italic"/>
    <w:basedOn w:val="Caratterepredefinitoparagrafo"/>
    <w:qFormat/>
    <w:rPr/>
  </w:style>
  <w:style w:type="character" w:styleId="Testoprincipaletestoitalic">
    <w:name w:val="testo-principale_testo---italic"/>
    <w:basedOn w:val="Caratterepredefinitoparagrafo"/>
    <w:qFormat/>
    <w:rPr/>
  </w:style>
  <w:style w:type="character" w:styleId="Tabellatestotabellaitalic">
    <w:name w:val="tabella_testo-tabella-italic"/>
    <w:basedOn w:val="Caratterepredefinitoparagrafo"/>
    <w:qFormat/>
    <w:rPr/>
  </w:style>
  <w:style w:type="character" w:styleId="Tabellatestotabellabold">
    <w:name w:val="tabella_testo-tabella-bold"/>
    <w:basedOn w:val="Caratterepredefinitoparagrafo"/>
    <w:qFormat/>
    <w:rPr/>
  </w:style>
  <w:style w:type="character" w:styleId="Titolo1Carattere">
    <w:name w:val="Titolo 1 Carattere"/>
    <w:qFormat/>
    <w:rPr>
      <w:rFonts w:ascii="Cambria" w:hAnsi="Cambria" w:cs="Cambria"/>
      <w:b/>
      <w:bCs/>
      <w:kern w:val="2"/>
      <w:sz w:val="32"/>
      <w:szCs w:val="32"/>
      <w:lang w:val="en-ZA"/>
    </w:rPr>
  </w:style>
  <w:style w:type="character" w:styleId="CorpodeltestoCarattere">
    <w:name w:val="Corpo del testo Carattere"/>
    <w:qFormat/>
    <w:rPr>
      <w:rFonts w:ascii="Verdana" w:hAnsi="Verdana" w:cs="Verdana"/>
      <w:b/>
      <w:color w:val="0000FF"/>
      <w:lang w:val="en-ZA"/>
    </w:rPr>
  </w:style>
  <w:style w:type="character" w:styleId="FNoteRef">
    <w:name w:val="FNoteRef"/>
    <w:qFormat/>
    <w:rPr>
      <w:rFonts w:ascii="Arial" w:hAnsi="Arial" w:cs="Arial"/>
      <w:color w:val="000000"/>
      <w:sz w:val="20"/>
      <w:u w:val="single"/>
      <w:vertAlign w:val="superscript"/>
    </w:rPr>
  </w:style>
  <w:style w:type="character" w:styleId="Caratterinotaapidipagina">
    <w:name w:val="Caratteri nota a piè di pagina"/>
    <w:qFormat/>
    <w:rPr>
      <w:rFonts w:ascii="Arial" w:hAnsi="Arial" w:cs="Arial"/>
      <w:color w:val="000000"/>
      <w:spacing w:val="0"/>
      <w:w w:val="100"/>
      <w:sz w:val="20"/>
      <w:vertAlign w:val="superscript"/>
    </w:rPr>
  </w:style>
  <w:style w:type="character" w:styleId="TestonotaapidipaginaCarattere">
    <w:name w:val="Testo nota a piè di pagina Carattere"/>
    <w:qFormat/>
    <w:rPr>
      <w:rFonts w:ascii="Verdana" w:hAnsi="Verdana" w:cs="Verdana"/>
      <w:lang w:val="en-ZA"/>
    </w:rPr>
  </w:style>
  <w:style w:type="character" w:styleId="HiddenGrey8">
    <w:name w:val="Hidden - Grey - 8"/>
    <w:qFormat/>
    <w:rPr>
      <w:vanish/>
      <w:color w:val="C0C0C0"/>
      <w:sz w:val="16"/>
    </w:rPr>
  </w:style>
  <w:style w:type="character" w:styleId="CollegamentoInternet">
    <w:name w:val="Collegamento Internet"/>
    <w:rPr>
      <w:color w:val="0000FF"/>
      <w:u w:val="single"/>
    </w:rPr>
  </w:style>
  <w:style w:type="character" w:styleId="Regulations">
    <w:name w:val="Regulations"/>
    <w:qFormat/>
    <w:rPr>
      <w:color w:val="008080"/>
    </w:rPr>
  </w:style>
  <w:style w:type="character" w:styleId="TitoloCarattere">
    <w:name w:val="Titolo Carattere"/>
    <w:qFormat/>
    <w:rPr>
      <w:b/>
      <w:bCs/>
      <w:kern w:val="2"/>
      <w:sz w:val="32"/>
      <w:szCs w:val="32"/>
      <w:lang w:val="en-ZA"/>
    </w:rPr>
  </w:style>
  <w:style w:type="character" w:styleId="SottotitoloCarattere">
    <w:name w:val="Sottotitolo Carattere"/>
    <w:qFormat/>
    <w:rPr>
      <w:b/>
      <w:sz w:val="28"/>
      <w:szCs w:val="24"/>
      <w:lang w:val="en-ZA"/>
    </w:rPr>
  </w:style>
  <w:style w:type="paragraph" w:styleId="Titolo">
    <w:name w:val="Titolo"/>
    <w:basedOn w:val="Normal"/>
    <w:next w:val="Normal"/>
    <w:qFormat/>
    <w:pPr>
      <w:spacing w:before="240" w:after="120"/>
      <w:outlineLvl w:val="0"/>
    </w:pPr>
    <w:rPr>
      <w:rFonts w:ascii="Times New Roman" w:hAnsi="Times New Roman" w:eastAsia="Times New Roman" w:cs="Times New Roman"/>
      <w:b/>
      <w:bCs/>
      <w:kern w:val="2"/>
      <w:sz w:val="32"/>
      <w:szCs w:val="32"/>
      <w:lang w:val="en-ZA"/>
    </w:rPr>
  </w:style>
  <w:style w:type="paragraph" w:styleId="Corpodeltesto">
    <w:name w:val="Body Text"/>
    <w:basedOn w:val="Normal"/>
    <w:pPr/>
    <w:rPr>
      <w:rFonts w:ascii="Verdana" w:hAnsi="Verdana" w:eastAsia="Times New Roman" w:cs="Verdana"/>
      <w:b/>
      <w:color w:val="0000FF"/>
      <w:sz w:val="20"/>
      <w:szCs w:val="20"/>
      <w:lang w:val="en-ZA"/>
    </w:rPr>
  </w:style>
  <w:style w:type="paragraph" w:styleId="Elenco">
    <w:name w:val="List"/>
    <w:basedOn w:val="Normal"/>
    <w:pPr>
      <w:tabs>
        <w:tab w:val="clear" w:pos="720"/>
        <w:tab w:val="left" w:pos="567" w:leader="none"/>
      </w:tabs>
      <w:spacing w:before="0" w:after="60"/>
      <w:ind w:left="567" w:hanging="567"/>
      <w:contextualSpacing/>
    </w:pPr>
    <w:rPr>
      <w:rFonts w:ascii="Times New Roman" w:hAnsi="Times New Roman" w:cs="Times New Roman"/>
      <w:sz w:val="24"/>
    </w:rPr>
  </w:style>
  <w:style w:type="paragraph" w:styleId="Didascalia">
    <w:name w:val="Caption"/>
    <w:basedOn w:val="Normal"/>
    <w:qFormat/>
    <w:pPr>
      <w:suppressLineNumbers/>
      <w:spacing w:before="120" w:after="120"/>
    </w:pPr>
    <w:rPr>
      <w:rFonts w:cs="Lucida Sans"/>
      <w:i/>
      <w:iCs/>
      <w:sz w:val="24"/>
      <w:szCs w:val="24"/>
    </w:rPr>
  </w:style>
  <w:style w:type="paragraph" w:styleId="Indice">
    <w:name w:val="Indice"/>
    <w:basedOn w:val="Normal"/>
    <w:qFormat/>
    <w:pPr>
      <w:suppressLineNumbers/>
    </w:pPr>
    <w:rPr>
      <w:rFonts w:cs="Lucida Sans"/>
      <w:lang w:val="zxx" w:eastAsia="zxx" w:bidi="zxx"/>
    </w:rPr>
  </w:style>
  <w:style w:type="paragraph" w:styleId="Stiliocchielligiocchiellotitolone">
    <w:name w:val="stili-occhielli__gi-occhiello-titolone"/>
    <w:basedOn w:val="Normal"/>
    <w:qFormat/>
    <w:pPr>
      <w:spacing w:before="280" w:after="280"/>
    </w:pPr>
    <w:rPr/>
  </w:style>
  <w:style w:type="paragraph" w:styleId="Testoprincipaletitoloparagrafo">
    <w:name w:val="testo-principale_titolo-paragrafo"/>
    <w:basedOn w:val="Normal"/>
    <w:qFormat/>
    <w:pPr>
      <w:spacing w:before="280" w:after="280"/>
    </w:pPr>
    <w:rPr/>
  </w:style>
  <w:style w:type="paragraph" w:styleId="Testoprincipaletestobase">
    <w:name w:val="testo-principale_testo-base"/>
    <w:basedOn w:val="Normal"/>
    <w:qFormat/>
    <w:pPr>
      <w:spacing w:before="280" w:after="280"/>
    </w:pPr>
    <w:rPr/>
  </w:style>
  <w:style w:type="paragraph" w:styleId="Testoprincipaletitolosottoparagrafo">
    <w:name w:val="testo-principale_titolo-sottoparagrafo"/>
    <w:basedOn w:val="Normal"/>
    <w:qFormat/>
    <w:pPr>
      <w:spacing w:before="280" w:after="280"/>
    </w:pPr>
    <w:rPr/>
  </w:style>
  <w:style w:type="paragraph" w:styleId="Tabellatitolotabella">
    <w:name w:val="tabella_titolo-tabella"/>
    <w:basedOn w:val="Normal"/>
    <w:qFormat/>
    <w:pPr>
      <w:spacing w:before="280" w:after="280"/>
    </w:pPr>
    <w:rPr/>
  </w:style>
  <w:style w:type="paragraph" w:styleId="Tabellatestotabellacentro">
    <w:name w:val="tabella_testo-tabella-centro"/>
    <w:basedOn w:val="Normal"/>
    <w:qFormat/>
    <w:pPr>
      <w:spacing w:before="280" w:after="280"/>
    </w:pPr>
    <w:rPr/>
  </w:style>
  <w:style w:type="paragraph" w:styleId="Tabellatestotabella">
    <w:name w:val="tabella_testo-tabella"/>
    <w:basedOn w:val="Normal"/>
    <w:qFormat/>
    <w:pPr>
      <w:spacing w:before="280" w:after="280"/>
    </w:pPr>
    <w:rPr/>
  </w:style>
  <w:style w:type="paragraph" w:styleId="Testoprincipaletestofonti">
    <w:name w:val="testo-principale_testo-fonti"/>
    <w:basedOn w:val="Normal"/>
    <w:qFormat/>
    <w:pPr>
      <w:spacing w:before="280" w:after="280"/>
    </w:pPr>
    <w:rPr/>
  </w:style>
  <w:style w:type="paragraph" w:styleId="Eserciziconsegnaesercizi">
    <w:name w:val="esercizi_consegna-esercizi"/>
    <w:basedOn w:val="Normal"/>
    <w:qFormat/>
    <w:pPr>
      <w:spacing w:before="280" w:after="280"/>
    </w:pPr>
    <w:rPr/>
  </w:style>
  <w:style w:type="paragraph" w:styleId="Esercizitestoesercizi">
    <w:name w:val="esercizi_testo-esercizi"/>
    <w:basedOn w:val="Normal"/>
    <w:qFormat/>
    <w:pPr>
      <w:spacing w:before="280" w:after="280"/>
    </w:pPr>
    <w:rPr/>
  </w:style>
  <w:style w:type="paragraph" w:styleId="Esercizilista123">
    <w:name w:val="esercizi_lista-123"/>
    <w:basedOn w:val="Normal"/>
    <w:qFormat/>
    <w:pPr>
      <w:spacing w:before="280" w:after="280"/>
    </w:pPr>
    <w:rPr/>
  </w:style>
  <w:style w:type="paragraph" w:styleId="Esercizitestoesercizinorientro">
    <w:name w:val="esercizi_testo-esercizi--no-rientro-"/>
    <w:basedOn w:val="Normal"/>
    <w:qFormat/>
    <w:pPr>
      <w:spacing w:before="280" w:after="280"/>
    </w:pPr>
    <w:rPr/>
  </w:style>
  <w:style w:type="paragraph" w:styleId="Colonninotitoletticolonnino">
    <w:name w:val="colonnino_titoletti-colonnino"/>
    <w:basedOn w:val="Normal"/>
    <w:qFormat/>
    <w:pPr>
      <w:spacing w:before="280" w:after="280"/>
    </w:pPr>
    <w:rPr/>
  </w:style>
  <w:style w:type="paragraph" w:styleId="Testoprincipaletestoabc">
    <w:name w:val="testo-principale_testo-abc"/>
    <w:basedOn w:val="Normal"/>
    <w:qFormat/>
    <w:pPr>
      <w:spacing w:before="280" w:after="280"/>
    </w:pPr>
    <w:rPr/>
  </w:style>
  <w:style w:type="paragraph" w:styleId="Tabellatestotabellaright">
    <w:name w:val="tabella_testo-tabella-right"/>
    <w:basedOn w:val="Normal"/>
    <w:qFormat/>
    <w:pPr>
      <w:spacing w:before="280" w:after="280"/>
    </w:pPr>
    <w:rPr/>
  </w:style>
  <w:style w:type="paragraph" w:styleId="Tabellatestotabellarightrigasingola">
    <w:name w:val="tabella_testo-tabella-right-riga-singola"/>
    <w:basedOn w:val="Normal"/>
    <w:qFormat/>
    <w:pPr>
      <w:spacing w:before="280" w:after="280"/>
    </w:pPr>
    <w:rPr/>
  </w:style>
  <w:style w:type="paragraph" w:styleId="Tabellatestotabellarightrigherisultato">
    <w:name w:val="tabella_testo-tabella-right-righe-risultato"/>
    <w:basedOn w:val="Normal"/>
    <w:qFormat/>
    <w:pPr>
      <w:spacing w:before="280" w:after="280"/>
    </w:pPr>
    <w:rPr/>
  </w:style>
  <w:style w:type="paragraph" w:styleId="Testoprincipaletestobaserientro">
    <w:name w:val="testo-principale_testo-base-rientro"/>
    <w:basedOn w:val="Normal"/>
    <w:qFormat/>
    <w:pPr>
      <w:spacing w:before="280" w:after="280"/>
    </w:pPr>
    <w:rPr/>
  </w:style>
  <w:style w:type="paragraph" w:styleId="AlphaHead">
    <w:name w:val="AlphaHead"/>
    <w:basedOn w:val="Normal"/>
    <w:qFormat/>
    <w:pPr>
      <w:spacing w:before="180" w:after="200"/>
      <w:jc w:val="center"/>
    </w:pPr>
    <w:rPr>
      <w:b/>
      <w:lang w:val="en-GB"/>
    </w:rPr>
  </w:style>
  <w:style w:type="paragraph" w:styleId="AlphaTable">
    <w:name w:val="AlphaTable"/>
    <w:basedOn w:val="Normal"/>
    <w:qFormat/>
    <w:pPr>
      <w:jc w:val="center"/>
    </w:pPr>
    <w:rPr>
      <w:b/>
    </w:rPr>
  </w:style>
  <w:style w:type="paragraph" w:styleId="Author">
    <w:name w:val="Author"/>
    <w:basedOn w:val="Normal"/>
    <w:qFormat/>
    <w:pPr>
      <w:autoSpaceDE w:val="false"/>
      <w:spacing w:before="600" w:after="200"/>
      <w:jc w:val="center"/>
    </w:pPr>
    <w:rPr>
      <w:rFonts w:ascii="Arial Bold" w:hAnsi="Arial Bold" w:cs="Arial"/>
      <w:b/>
    </w:rPr>
  </w:style>
  <w:style w:type="paragraph" w:styleId="Biblio">
    <w:name w:val="Biblio"/>
    <w:basedOn w:val="Normal"/>
    <w:qFormat/>
    <w:pPr>
      <w:ind w:left="284" w:hanging="284"/>
    </w:pPr>
    <w:rPr>
      <w:szCs w:val="22"/>
      <w:lang w:val="en-GB"/>
    </w:rPr>
  </w:style>
  <w:style w:type="paragraph" w:styleId="BoxHead">
    <w:name w:val="Box Head"/>
    <w:basedOn w:val="Normal"/>
    <w:qFormat/>
    <w:pPr>
      <w:pBdr>
        <w:top w:val="single" w:sz="4" w:space="1" w:color="000000"/>
        <w:left w:val="single" w:sz="4" w:space="4" w:color="000000"/>
        <w:bottom w:val="single" w:sz="4" w:space="1" w:color="000000"/>
        <w:right w:val="single" w:sz="4" w:space="4" w:color="000000"/>
      </w:pBdr>
      <w:spacing w:before="240" w:after="120"/>
    </w:pPr>
    <w:rPr>
      <w:rFonts w:ascii="Times New Roman" w:hAnsi="Times New Roman" w:cs="Times New Roman"/>
      <w:b/>
      <w:sz w:val="24"/>
    </w:rPr>
  </w:style>
  <w:style w:type="paragraph" w:styleId="BoxNote">
    <w:name w:val="BoxNote"/>
    <w:basedOn w:val="Normal"/>
    <w:qFormat/>
    <w:pPr>
      <w:ind w:left="284" w:right="284" w:hanging="0"/>
    </w:pPr>
    <w:rPr/>
  </w:style>
  <w:style w:type="paragraph" w:styleId="BoxNoteFLIndt">
    <w:name w:val="BoxNoteFLIndt"/>
    <w:basedOn w:val="Normal"/>
    <w:qFormat/>
    <w:pPr>
      <w:ind w:left="284" w:right="284" w:firstLine="284"/>
    </w:pPr>
    <w:rPr/>
  </w:style>
  <w:style w:type="paragraph" w:styleId="BoxNoteIndt1">
    <w:name w:val="BoxNoteIndt1"/>
    <w:basedOn w:val="BoxNote"/>
    <w:qFormat/>
    <w:pPr>
      <w:tabs>
        <w:tab w:val="clear" w:pos="720"/>
        <w:tab w:val="left" w:pos="284" w:leader="none"/>
        <w:tab w:val="left" w:pos="851" w:leader="none"/>
      </w:tabs>
      <w:ind w:left="851" w:right="284" w:hanging="851"/>
    </w:pPr>
    <w:rPr/>
  </w:style>
  <w:style w:type="paragraph" w:styleId="BoxNoteIndt2">
    <w:name w:val="BoxNoteIndt2"/>
    <w:basedOn w:val="Normal"/>
    <w:qFormat/>
    <w:pPr>
      <w:tabs>
        <w:tab w:val="clear" w:pos="720"/>
        <w:tab w:val="left" w:pos="851" w:leader="none"/>
        <w:tab w:val="left" w:pos="1418" w:leader="none"/>
      </w:tabs>
      <w:ind w:left="1418" w:hanging="1418"/>
    </w:pPr>
    <w:rPr/>
  </w:style>
  <w:style w:type="paragraph" w:styleId="Chapter">
    <w:name w:val="Chapter"/>
    <w:basedOn w:val="Normal"/>
    <w:qFormat/>
    <w:pPr>
      <w:spacing w:before="240" w:after="240"/>
      <w:jc w:val="center"/>
    </w:pPr>
    <w:rPr>
      <w:rFonts w:ascii="Times New Roman" w:hAnsi="Times New Roman" w:cs="Times New Roman"/>
      <w:b/>
      <w:sz w:val="24"/>
    </w:rPr>
  </w:style>
  <w:style w:type="paragraph" w:styleId="ContFullout">
    <w:name w:val="ContFullout"/>
    <w:basedOn w:val="Normal"/>
    <w:qFormat/>
    <w:pPr>
      <w:spacing w:before="120" w:after="200"/>
    </w:pPr>
    <w:rPr/>
  </w:style>
  <w:style w:type="paragraph" w:styleId="ContHead">
    <w:name w:val="ContHead"/>
    <w:basedOn w:val="Normal"/>
    <w:qFormat/>
    <w:pPr>
      <w:spacing w:before="240" w:after="200"/>
      <w:jc w:val="center"/>
    </w:pPr>
    <w:rPr>
      <w:b/>
    </w:rPr>
  </w:style>
  <w:style w:type="paragraph" w:styleId="ContIndt1">
    <w:name w:val="ContIndt1"/>
    <w:basedOn w:val="Normal"/>
    <w:qFormat/>
    <w:pPr>
      <w:tabs>
        <w:tab w:val="clear" w:pos="720"/>
        <w:tab w:val="left" w:pos="567" w:leader="none"/>
      </w:tabs>
      <w:ind w:left="567" w:hanging="567"/>
    </w:pPr>
    <w:rPr/>
  </w:style>
  <w:style w:type="paragraph" w:styleId="ContIndt3">
    <w:name w:val="ContIndt3"/>
    <w:basedOn w:val="Normal"/>
    <w:qFormat/>
    <w:pPr>
      <w:tabs>
        <w:tab w:val="clear" w:pos="720"/>
        <w:tab w:val="left" w:pos="1134" w:leader="none"/>
        <w:tab w:val="left" w:pos="1701" w:leader="none"/>
      </w:tabs>
      <w:spacing w:before="40" w:after="200"/>
      <w:ind w:left="1701" w:hanging="1701"/>
    </w:pPr>
    <w:rPr/>
  </w:style>
  <w:style w:type="paragraph" w:styleId="ContList">
    <w:name w:val="ContList"/>
    <w:basedOn w:val="Normal"/>
    <w:qFormat/>
    <w:pPr>
      <w:spacing w:before="240" w:after="200"/>
    </w:pPr>
    <w:rPr>
      <w:szCs w:val="22"/>
      <w:lang w:val="en-GB"/>
    </w:rPr>
  </w:style>
  <w:style w:type="paragraph" w:styleId="FNotePara">
    <w:name w:val="FNotePara"/>
    <w:qFormat/>
    <w:pPr>
      <w:widowControl w:val="false"/>
      <w:tabs>
        <w:tab w:val="clear" w:pos="720"/>
        <w:tab w:val="left" w:pos="510" w:leader="none"/>
        <w:tab w:val="left" w:pos="907" w:leader="none"/>
      </w:tabs>
      <w:autoSpaceDE w:val="false"/>
      <w:bidi w:val="0"/>
      <w:spacing w:before="20" w:after="0"/>
      <w:ind w:left="907" w:hanging="907"/>
    </w:pPr>
    <w:rPr>
      <w:rFonts w:ascii="Verdana" w:hAnsi="Verdana" w:eastAsia="Times New Roman" w:cs="Arial"/>
      <w:color w:val="auto"/>
      <w:sz w:val="18"/>
      <w:szCs w:val="18"/>
      <w:lang w:val="en-ZA" w:bidi="ar-SA" w:eastAsia="zh-CN"/>
    </w:rPr>
  </w:style>
  <w:style w:type="paragraph" w:styleId="FNoteQuote">
    <w:name w:val="FNoteQuote"/>
    <w:basedOn w:val="Normal"/>
    <w:qFormat/>
    <w:pPr>
      <w:ind w:left="567" w:hanging="0"/>
    </w:pPr>
    <w:rPr>
      <w:sz w:val="18"/>
    </w:rPr>
  </w:style>
  <w:style w:type="paragraph" w:styleId="FNoteText">
    <w:name w:val="FNoteText"/>
    <w:qFormat/>
    <w:pPr>
      <w:widowControl w:val="false"/>
      <w:tabs>
        <w:tab w:val="clear" w:pos="720"/>
        <w:tab w:val="left" w:pos="284" w:leader="none"/>
      </w:tabs>
      <w:autoSpaceDE w:val="false"/>
      <w:bidi w:val="0"/>
      <w:spacing w:before="20" w:after="0"/>
      <w:ind w:left="284" w:hanging="284"/>
    </w:pPr>
    <w:rPr>
      <w:rFonts w:ascii="Verdana" w:hAnsi="Verdana" w:eastAsia="Times New Roman" w:cs="Arial"/>
      <w:color w:val="auto"/>
      <w:sz w:val="18"/>
      <w:szCs w:val="18"/>
      <w:lang w:val="en-ZA" w:bidi="ar-SA" w:eastAsia="zh-CN"/>
    </w:rPr>
  </w:style>
  <w:style w:type="paragraph" w:styleId="Notaapidipagina">
    <w:name w:val="Footnote Text"/>
    <w:basedOn w:val="Normal"/>
    <w:pPr/>
    <w:rPr>
      <w:rFonts w:ascii="Verdana" w:hAnsi="Verdana" w:eastAsia="Times New Roman" w:cs="Verdana"/>
      <w:sz w:val="20"/>
      <w:szCs w:val="20"/>
      <w:lang w:val="en-ZA"/>
    </w:rPr>
  </w:style>
  <w:style w:type="paragraph" w:styleId="HeadBold">
    <w:name w:val="HeadBold"/>
    <w:basedOn w:val="Normal"/>
    <w:qFormat/>
    <w:pPr>
      <w:spacing w:before="180" w:after="200"/>
    </w:pPr>
    <w:rPr>
      <w:b/>
      <w:lang w:val="en-GB"/>
    </w:rPr>
  </w:style>
  <w:style w:type="paragraph" w:styleId="HeadCenteredBold">
    <w:name w:val="Head Centered Bold"/>
    <w:basedOn w:val="Normal"/>
    <w:qFormat/>
    <w:pPr>
      <w:spacing w:before="120" w:after="120"/>
      <w:jc w:val="center"/>
    </w:pPr>
    <w:rPr>
      <w:rFonts w:ascii="Times New Roman" w:hAnsi="Times New Roman" w:eastAsia="Calibri" w:cs="Times New Roman"/>
      <w:b/>
      <w:sz w:val="24"/>
      <w:lang w:val="en-GB"/>
    </w:rPr>
  </w:style>
  <w:style w:type="paragraph" w:styleId="HeadLevel1">
    <w:name w:val="HeadLevel 1"/>
    <w:basedOn w:val="Normal"/>
    <w:qFormat/>
    <w:pPr>
      <w:spacing w:before="360" w:after="120"/>
    </w:pPr>
    <w:rPr>
      <w:rFonts w:ascii="Times New Roman" w:hAnsi="Times New Roman" w:eastAsia="Calibri" w:cs="Times New Roman"/>
      <w:b/>
      <w:sz w:val="28"/>
      <w:lang w:val="en-GB"/>
    </w:rPr>
  </w:style>
  <w:style w:type="paragraph" w:styleId="HeadLevel2">
    <w:name w:val="HeadLevel 2"/>
    <w:basedOn w:val="Normal"/>
    <w:qFormat/>
    <w:pPr>
      <w:spacing w:before="240" w:after="120"/>
    </w:pPr>
    <w:rPr>
      <w:rFonts w:ascii="Times New Roman" w:hAnsi="Times New Roman" w:cs="Times New Roman"/>
      <w:b/>
      <w:sz w:val="24"/>
      <w:lang w:val="en-GB"/>
    </w:rPr>
  </w:style>
  <w:style w:type="paragraph" w:styleId="HeadLevel2AfterHead">
    <w:name w:val="HeadLevel2AfterHead"/>
    <w:basedOn w:val="Normal"/>
    <w:qFormat/>
    <w:pPr>
      <w:spacing w:before="120" w:after="200"/>
    </w:pPr>
    <w:rPr>
      <w:rFonts w:ascii="Times New Roman" w:hAnsi="Times New Roman" w:cs="Times New Roman"/>
      <w:b/>
      <w:sz w:val="22"/>
      <w:lang w:val="en-GB"/>
    </w:rPr>
  </w:style>
  <w:style w:type="paragraph" w:styleId="HeadLevel3">
    <w:name w:val="HeadLevel 3"/>
    <w:basedOn w:val="Normal"/>
    <w:qFormat/>
    <w:pPr>
      <w:spacing w:before="240" w:after="120"/>
    </w:pPr>
    <w:rPr>
      <w:rFonts w:ascii="Times New Roman" w:hAnsi="Times New Roman" w:cs="Times New Roman"/>
      <w:b/>
      <w:lang w:val="en-GB"/>
    </w:rPr>
  </w:style>
  <w:style w:type="paragraph" w:styleId="HeadLevel3AfterHead">
    <w:name w:val="HeadLevel3AfterHead"/>
    <w:basedOn w:val="Normal"/>
    <w:qFormat/>
    <w:pPr>
      <w:spacing w:before="120" w:after="200"/>
    </w:pPr>
    <w:rPr>
      <w:rFonts w:ascii="Times New Roman" w:hAnsi="Times New Roman" w:cs="Times New Roman"/>
      <w:b/>
      <w:lang w:val="en-GB"/>
    </w:rPr>
  </w:style>
  <w:style w:type="paragraph" w:styleId="HeadLevel4">
    <w:name w:val="HeadLevel 4"/>
    <w:basedOn w:val="Normal"/>
    <w:qFormat/>
    <w:pPr>
      <w:spacing w:before="240" w:after="120"/>
    </w:pPr>
    <w:rPr>
      <w:rFonts w:ascii="Times New Roman" w:hAnsi="Times New Roman" w:cs="Times New Roman"/>
      <w:b/>
      <w:sz w:val="18"/>
      <w:lang w:val="en-GB"/>
    </w:rPr>
  </w:style>
  <w:style w:type="paragraph" w:styleId="Headlevel4AfterHead">
    <w:name w:val="Headlevel4AfterHead"/>
    <w:basedOn w:val="Normal"/>
    <w:qFormat/>
    <w:pPr>
      <w:spacing w:before="120" w:after="200"/>
    </w:pPr>
    <w:rPr>
      <w:rFonts w:ascii="Times New Roman" w:hAnsi="Times New Roman" w:cs="Times New Roman"/>
      <w:b/>
      <w:lang w:val="en-GB"/>
    </w:rPr>
  </w:style>
  <w:style w:type="paragraph" w:styleId="HeadLevel5">
    <w:name w:val="HeadLevel 5"/>
    <w:basedOn w:val="Normal"/>
    <w:qFormat/>
    <w:pPr>
      <w:spacing w:before="240" w:after="120"/>
    </w:pPr>
    <w:rPr>
      <w:rFonts w:ascii="Times New Roman" w:hAnsi="Times New Roman" w:cs="Times New Roman"/>
      <w:b/>
      <w:lang w:val="en-GB"/>
    </w:rPr>
  </w:style>
  <w:style w:type="paragraph" w:styleId="HeadLevel5AfterHead">
    <w:name w:val="HeadLevel5AfterHead"/>
    <w:basedOn w:val="Normal"/>
    <w:qFormat/>
    <w:pPr>
      <w:spacing w:before="120" w:after="200"/>
    </w:pPr>
    <w:rPr>
      <w:b/>
      <w:lang w:val="en-GB"/>
    </w:rPr>
  </w:style>
  <w:style w:type="paragraph" w:styleId="HeadLevel6">
    <w:name w:val="HeadLevel6"/>
    <w:basedOn w:val="Normal"/>
    <w:qFormat/>
    <w:pPr>
      <w:spacing w:before="180" w:after="200"/>
    </w:pPr>
    <w:rPr>
      <w:b/>
      <w:lang w:val="en-GB"/>
    </w:rPr>
  </w:style>
  <w:style w:type="paragraph" w:styleId="HeadLevel6AfterHead">
    <w:name w:val="HeadLevel6AfterHead"/>
    <w:basedOn w:val="Normal"/>
    <w:qFormat/>
    <w:pPr>
      <w:spacing w:before="120" w:after="200"/>
    </w:pPr>
    <w:rPr>
      <w:b/>
      <w:lang w:val="en-GB"/>
    </w:rPr>
  </w:style>
  <w:style w:type="paragraph" w:styleId="Image">
    <w:name w:val="Image"/>
    <w:basedOn w:val="Normal"/>
    <w:qFormat/>
    <w:pPr>
      <w:widowControl w:val="false"/>
      <w:autoSpaceDE w:val="false"/>
      <w:spacing w:before="120" w:after="200"/>
      <w:jc w:val="center"/>
      <w:textAlignment w:val="center"/>
    </w:pPr>
    <w:rPr>
      <w:rFonts w:ascii="Calibri" w:hAnsi="Calibri" w:eastAsia="Calibri" w:cs="Calibri"/>
      <w:color w:val="000000"/>
      <w:szCs w:val="22"/>
      <w:lang w:val="en-GB"/>
    </w:rPr>
  </w:style>
  <w:style w:type="paragraph" w:styleId="Index3">
    <w:name w:val="Index3"/>
    <w:basedOn w:val="Normal"/>
    <w:qFormat/>
    <w:pPr>
      <w:spacing w:before="40" w:after="200"/>
      <w:ind w:left="851" w:hanging="284"/>
    </w:pPr>
    <w:rPr>
      <w:lang w:val="en-US"/>
    </w:rPr>
  </w:style>
  <w:style w:type="paragraph" w:styleId="InstitutionCentered">
    <w:name w:val="InstitutionCentered"/>
    <w:basedOn w:val="Normal"/>
    <w:qFormat/>
    <w:pPr>
      <w:autoSpaceDE w:val="false"/>
      <w:spacing w:before="0" w:after="200"/>
      <w:jc w:val="center"/>
    </w:pPr>
    <w:rPr>
      <w:rFonts w:cs="Arial"/>
      <w:lang w:val="en-GB"/>
    </w:rPr>
  </w:style>
  <w:style w:type="paragraph" w:styleId="PageNo">
    <w:name w:val="PageNo"/>
    <w:basedOn w:val="Normal"/>
    <w:qFormat/>
    <w:pPr>
      <w:pBdr>
        <w:top w:val="single" w:sz="4" w:space="1" w:color="008080"/>
      </w:pBdr>
      <w:autoSpaceDE w:val="false"/>
      <w:spacing w:before="180" w:after="60"/>
      <w:jc w:val="right"/>
    </w:pPr>
    <w:rPr>
      <w:rFonts w:cs="Arial"/>
      <w:b/>
      <w:color w:val="808080"/>
      <w:sz w:val="18"/>
    </w:rPr>
  </w:style>
  <w:style w:type="paragraph" w:styleId="PageNo1">
    <w:name w:val="PageNo1"/>
    <w:basedOn w:val="PageNo"/>
    <w:qFormat/>
    <w:pPr>
      <w:pBdr>
        <w:top w:val="nil"/>
      </w:pBdr>
    </w:pPr>
    <w:rPr/>
  </w:style>
  <w:style w:type="paragraph" w:styleId="Para">
    <w:name w:val="Para"/>
    <w:basedOn w:val="Normal"/>
    <w:next w:val="Normal"/>
    <w:qFormat/>
    <w:pPr>
      <w:spacing w:before="120" w:after="120"/>
    </w:pPr>
    <w:rPr>
      <w:rFonts w:ascii="Times New Roman" w:hAnsi="Times New Roman" w:cs="Times New Roman"/>
      <w:sz w:val="24"/>
    </w:rPr>
  </w:style>
  <w:style w:type="paragraph" w:styleId="ParaFLIndt">
    <w:name w:val="ParaFLIndt"/>
    <w:basedOn w:val="Normal"/>
    <w:next w:val="Normal"/>
    <w:qFormat/>
    <w:pPr>
      <w:spacing w:before="120" w:after="200"/>
      <w:ind w:firstLine="284"/>
    </w:pPr>
    <w:rPr/>
  </w:style>
  <w:style w:type="paragraph" w:styleId="ParaIndt1">
    <w:name w:val="ParaIndt1"/>
    <w:basedOn w:val="Normal"/>
    <w:qFormat/>
    <w:pPr>
      <w:tabs>
        <w:tab w:val="clear" w:pos="720"/>
        <w:tab w:val="left" w:pos="567" w:leader="none"/>
      </w:tabs>
      <w:spacing w:before="120" w:after="200"/>
      <w:ind w:left="567" w:hanging="567"/>
    </w:pPr>
    <w:rPr/>
  </w:style>
  <w:style w:type="paragraph" w:styleId="ParaIndt12">
    <w:name w:val="ParaIndt1_2"/>
    <w:basedOn w:val="Normal"/>
    <w:qFormat/>
    <w:pPr>
      <w:tabs>
        <w:tab w:val="clear" w:pos="720"/>
        <w:tab w:val="left" w:pos="567" w:leader="none"/>
        <w:tab w:val="left" w:pos="1134" w:leader="none"/>
      </w:tabs>
      <w:ind w:left="1134" w:hanging="1134"/>
    </w:pPr>
    <w:rPr>
      <w:lang w:val="en-GB"/>
    </w:rPr>
  </w:style>
  <w:style w:type="paragraph" w:styleId="ParaIndt1FLInd">
    <w:name w:val="ParaIndt1FLInd"/>
    <w:basedOn w:val="Normal"/>
    <w:qFormat/>
    <w:pPr>
      <w:ind w:left="567" w:firstLine="284"/>
    </w:pPr>
    <w:rPr>
      <w:lang w:val="en-GB"/>
    </w:rPr>
  </w:style>
  <w:style w:type="paragraph" w:styleId="ParaIndt1Hang">
    <w:name w:val="ParaIndt1Hang"/>
    <w:basedOn w:val="Normal"/>
    <w:qFormat/>
    <w:pPr>
      <w:ind w:left="567" w:hanging="0"/>
    </w:pPr>
    <w:rPr>
      <w:lang w:val="en-GB"/>
    </w:rPr>
  </w:style>
  <w:style w:type="paragraph" w:styleId="ParaIndt1i">
    <w:name w:val="ParaIndt1i"/>
    <w:basedOn w:val="Normal"/>
    <w:qFormat/>
    <w:pPr>
      <w:tabs>
        <w:tab w:val="clear" w:pos="720"/>
        <w:tab w:val="right" w:pos="454" w:leader="none"/>
        <w:tab w:val="left" w:pos="567" w:leader="none"/>
      </w:tabs>
      <w:spacing w:before="120" w:after="200"/>
      <w:ind w:left="567" w:hanging="567"/>
    </w:pPr>
    <w:rPr>
      <w:lang w:val="en-GB"/>
    </w:rPr>
  </w:style>
  <w:style w:type="paragraph" w:styleId="ParaIndt2">
    <w:name w:val="ParaIndt2"/>
    <w:basedOn w:val="Normal"/>
    <w:qFormat/>
    <w:pPr>
      <w:tabs>
        <w:tab w:val="clear" w:pos="720"/>
        <w:tab w:val="left" w:pos="567" w:leader="none"/>
        <w:tab w:val="left" w:pos="1134" w:leader="none"/>
      </w:tabs>
      <w:ind w:left="1134" w:hanging="1134"/>
    </w:pPr>
    <w:rPr>
      <w:lang w:val="en-GB"/>
    </w:rPr>
  </w:style>
  <w:style w:type="paragraph" w:styleId="ParaIndt2Hang">
    <w:name w:val="ParaIndt2Hang"/>
    <w:basedOn w:val="Normal"/>
    <w:qFormat/>
    <w:pPr>
      <w:ind w:left="1134" w:hanging="0"/>
    </w:pPr>
    <w:rPr>
      <w:lang w:val="en-GB"/>
    </w:rPr>
  </w:style>
  <w:style w:type="paragraph" w:styleId="PartTitle">
    <w:name w:val="Part Title"/>
    <w:basedOn w:val="Normal"/>
    <w:qFormat/>
    <w:pPr>
      <w:spacing w:before="720" w:after="200"/>
    </w:pPr>
    <w:rPr>
      <w:rFonts w:ascii="Times New Roman" w:hAnsi="Times New Roman" w:cs="Times New Roman"/>
      <w:b/>
      <w:sz w:val="36"/>
    </w:rPr>
  </w:style>
  <w:style w:type="paragraph" w:styleId="Quote1">
    <w:name w:val="Quote1"/>
    <w:basedOn w:val="Normal"/>
    <w:qFormat/>
    <w:pPr>
      <w:ind w:left="567" w:hanging="0"/>
    </w:pPr>
    <w:rPr>
      <w:sz w:val="18"/>
    </w:rPr>
  </w:style>
  <w:style w:type="paragraph" w:styleId="Quote2">
    <w:name w:val="Quote2"/>
    <w:basedOn w:val="Normal"/>
    <w:qFormat/>
    <w:pPr>
      <w:ind w:left="1134" w:hanging="0"/>
    </w:pPr>
    <w:rPr>
      <w:sz w:val="18"/>
      <w:lang w:val="en-GB"/>
    </w:rPr>
  </w:style>
  <w:style w:type="paragraph" w:styleId="QuoteIndt1Hang">
    <w:name w:val="QuoteIndt1Hang"/>
    <w:basedOn w:val="Normal"/>
    <w:qFormat/>
    <w:pPr>
      <w:ind w:left="1134" w:hanging="0"/>
    </w:pPr>
    <w:rPr>
      <w:sz w:val="18"/>
      <w:lang w:val="en-GB"/>
    </w:rPr>
  </w:style>
  <w:style w:type="paragraph" w:styleId="QuoteIndt1i">
    <w:name w:val="QuoteIndt1i"/>
    <w:basedOn w:val="Normal"/>
    <w:qFormat/>
    <w:pPr>
      <w:tabs>
        <w:tab w:val="clear" w:pos="720"/>
        <w:tab w:val="right" w:pos="1021" w:leader="none"/>
        <w:tab w:val="left" w:pos="1134" w:leader="none"/>
      </w:tabs>
      <w:ind w:left="1134" w:hanging="1134"/>
    </w:pPr>
    <w:rPr>
      <w:sz w:val="18"/>
      <w:lang w:val="en-GB"/>
    </w:rPr>
  </w:style>
  <w:style w:type="paragraph" w:styleId="QuoteIndt2">
    <w:name w:val="QuoteIndt2"/>
    <w:basedOn w:val="Normal"/>
    <w:qFormat/>
    <w:pPr>
      <w:tabs>
        <w:tab w:val="clear" w:pos="720"/>
        <w:tab w:val="left" w:pos="1134" w:leader="none"/>
        <w:tab w:val="left" w:pos="1701" w:leader="none"/>
      </w:tabs>
      <w:ind w:left="1701" w:hanging="1701"/>
    </w:pPr>
    <w:rPr>
      <w:sz w:val="18"/>
      <w:lang w:val="en-GB"/>
    </w:rPr>
  </w:style>
  <w:style w:type="paragraph" w:styleId="QuoteIndt2Hang">
    <w:name w:val="QuoteIndt2Hang"/>
    <w:basedOn w:val="Normal"/>
    <w:qFormat/>
    <w:pPr>
      <w:ind w:left="1701" w:hanging="0"/>
    </w:pPr>
    <w:rPr>
      <w:sz w:val="18"/>
      <w:lang w:val="en-GB"/>
    </w:rPr>
  </w:style>
  <w:style w:type="paragraph" w:styleId="QuoteIndt2HangFLIndt">
    <w:name w:val="QuoteIndt2HangFLIndt"/>
    <w:basedOn w:val="Normal"/>
    <w:qFormat/>
    <w:pPr>
      <w:ind w:left="1701" w:firstLine="284"/>
    </w:pPr>
    <w:rPr>
      <w:sz w:val="18"/>
      <w:lang w:val="en-GB"/>
    </w:rPr>
  </w:style>
  <w:style w:type="paragraph" w:styleId="QuoteIndt2i">
    <w:name w:val="QuoteIndt2i"/>
    <w:basedOn w:val="Normal"/>
    <w:qFormat/>
    <w:pPr>
      <w:tabs>
        <w:tab w:val="clear" w:pos="720"/>
        <w:tab w:val="right" w:pos="1588" w:leader="none"/>
        <w:tab w:val="left" w:pos="1701" w:leader="none"/>
      </w:tabs>
      <w:spacing w:before="40" w:after="200"/>
      <w:ind w:left="1701" w:hanging="1701"/>
    </w:pPr>
    <w:rPr>
      <w:sz w:val="18"/>
    </w:rPr>
  </w:style>
  <w:style w:type="paragraph" w:styleId="RegHeadBold">
    <w:name w:val="Reg_HeadBold"/>
    <w:basedOn w:val="Normal"/>
    <w:qFormat/>
    <w:pPr>
      <w:spacing w:before="120" w:after="200"/>
    </w:pPr>
    <w:rPr>
      <w:b/>
    </w:rPr>
  </w:style>
  <w:style w:type="paragraph" w:styleId="RegHeadCenteredBold">
    <w:name w:val="Reg_HeadCenteredBold"/>
    <w:basedOn w:val="Normal"/>
    <w:qFormat/>
    <w:pPr>
      <w:widowControl w:val="false"/>
      <w:spacing w:before="240" w:after="200"/>
      <w:jc w:val="center"/>
    </w:pPr>
    <w:rPr>
      <w:b/>
    </w:rPr>
  </w:style>
  <w:style w:type="paragraph" w:styleId="RegIndtAfter11Lvl1">
    <w:name w:val="Reg_IndtAfter1.1Lvl1"/>
    <w:basedOn w:val="Normal"/>
    <w:qFormat/>
    <w:pPr>
      <w:tabs>
        <w:tab w:val="clear" w:pos="720"/>
        <w:tab w:val="left" w:pos="851" w:leader="none"/>
        <w:tab w:val="left" w:pos="1418" w:leader="none"/>
      </w:tabs>
      <w:ind w:left="1418" w:hanging="1418"/>
    </w:pPr>
    <w:rPr/>
  </w:style>
  <w:style w:type="paragraph" w:styleId="RegIndtAfterIndtAfter11Lvl1">
    <w:name w:val="Reg_IndtAfterIndtAfter1.1Lvl1"/>
    <w:basedOn w:val="Normal"/>
    <w:qFormat/>
    <w:pPr>
      <w:tabs>
        <w:tab w:val="clear" w:pos="720"/>
        <w:tab w:val="left" w:pos="1418" w:leader="none"/>
        <w:tab w:val="left" w:pos="1985" w:leader="none"/>
      </w:tabs>
      <w:ind w:left="1985" w:hanging="1985"/>
    </w:pPr>
    <w:rPr/>
  </w:style>
  <w:style w:type="paragraph" w:styleId="RegIndtAfterIndtAfter11Lvl2">
    <w:name w:val="Reg_IndtAfterIndtAfter1.1Lvl2"/>
    <w:basedOn w:val="Normal"/>
    <w:qFormat/>
    <w:pPr>
      <w:tabs>
        <w:tab w:val="clear" w:pos="720"/>
        <w:tab w:val="left" w:pos="1701" w:leader="none"/>
        <w:tab w:val="left" w:pos="2268" w:leader="none"/>
      </w:tabs>
      <w:ind w:left="2268" w:hanging="2268"/>
    </w:pPr>
    <w:rPr/>
  </w:style>
  <w:style w:type="paragraph" w:styleId="RegPara11Lvl1">
    <w:name w:val="Reg_Para1.1Lvl1"/>
    <w:basedOn w:val="Normal"/>
    <w:qFormat/>
    <w:pPr>
      <w:tabs>
        <w:tab w:val="clear" w:pos="720"/>
        <w:tab w:val="left" w:pos="851" w:leader="none"/>
      </w:tabs>
      <w:ind w:left="851" w:hanging="851"/>
    </w:pPr>
    <w:rPr/>
  </w:style>
  <w:style w:type="paragraph" w:styleId="RegPara11Lvl1PlusIndt">
    <w:name w:val="Reg_Para1.1Lvl1PlusIndt"/>
    <w:basedOn w:val="Normal"/>
    <w:qFormat/>
    <w:pPr>
      <w:tabs>
        <w:tab w:val="clear" w:pos="720"/>
        <w:tab w:val="left" w:pos="851" w:leader="none"/>
        <w:tab w:val="left" w:pos="1418" w:leader="none"/>
      </w:tabs>
      <w:ind w:left="1418" w:hanging="1418"/>
    </w:pPr>
    <w:rPr/>
  </w:style>
  <w:style w:type="paragraph" w:styleId="RegPara1Lvl1">
    <w:name w:val="Reg_Para1Lvl1"/>
    <w:basedOn w:val="Normal"/>
    <w:qFormat/>
    <w:pPr>
      <w:tabs>
        <w:tab w:val="clear" w:pos="720"/>
        <w:tab w:val="left" w:pos="567" w:leader="none"/>
      </w:tabs>
      <w:ind w:left="567" w:hanging="567"/>
    </w:pPr>
    <w:rPr/>
  </w:style>
  <w:style w:type="paragraph" w:styleId="RegParal11Lvl1Hang">
    <w:name w:val="Reg_Paral1.1Lvl1Hang"/>
    <w:basedOn w:val="Normal"/>
    <w:qFormat/>
    <w:pPr>
      <w:ind w:left="851" w:hanging="0"/>
    </w:pPr>
    <w:rPr/>
  </w:style>
  <w:style w:type="paragraph" w:styleId="RegText">
    <w:name w:val="Reg_Text"/>
    <w:basedOn w:val="Normal"/>
    <w:qFormat/>
    <w:pPr>
      <w:spacing w:before="120" w:after="200"/>
    </w:pPr>
    <w:rPr>
      <w:rFonts w:eastAsia="Calibri"/>
      <w:szCs w:val="22"/>
    </w:rPr>
  </w:style>
  <w:style w:type="paragraph" w:styleId="RegTextFLIndent">
    <w:name w:val="Reg_TextFLIndent"/>
    <w:basedOn w:val="Normal"/>
    <w:qFormat/>
    <w:pPr>
      <w:ind w:firstLine="284"/>
    </w:pPr>
    <w:rPr/>
  </w:style>
  <w:style w:type="paragraph" w:styleId="RegulationsLink">
    <w:name w:val="RegulationsLink"/>
    <w:basedOn w:val="Normal"/>
    <w:qFormat/>
    <w:pPr>
      <w:jc w:val="center"/>
    </w:pPr>
    <w:rPr/>
  </w:style>
  <w:style w:type="paragraph" w:styleId="TableCaption">
    <w:name w:val="Table Caption"/>
    <w:basedOn w:val="Normal"/>
    <w:qFormat/>
    <w:pPr>
      <w:spacing w:before="240" w:after="120"/>
    </w:pPr>
    <w:rPr>
      <w:rFonts w:ascii="Times New Roman" w:hAnsi="Times New Roman" w:eastAsia="Calibri" w:cs="Times New Roman"/>
      <w:sz w:val="24"/>
      <w:lang w:val="en-US"/>
    </w:rPr>
  </w:style>
  <w:style w:type="paragraph" w:styleId="TableBullet">
    <w:name w:val="Table Bullet"/>
    <w:basedOn w:val="Normal"/>
    <w:qFormat/>
    <w:pPr>
      <w:tabs>
        <w:tab w:val="clear" w:pos="720"/>
        <w:tab w:val="left" w:pos="284" w:leader="none"/>
      </w:tabs>
      <w:spacing w:before="0" w:after="60"/>
      <w:ind w:left="284" w:hanging="284"/>
    </w:pPr>
    <w:rPr>
      <w:rFonts w:ascii="Times New Roman" w:hAnsi="Times New Roman" w:cs="Times New Roman"/>
    </w:rPr>
  </w:style>
  <w:style w:type="paragraph" w:styleId="TableCentered">
    <w:name w:val="TableCentered"/>
    <w:basedOn w:val="Normal"/>
    <w:qFormat/>
    <w:pPr>
      <w:ind w:left="57" w:right="57" w:hanging="0"/>
      <w:jc w:val="center"/>
    </w:pPr>
    <w:rPr>
      <w:sz w:val="16"/>
    </w:rPr>
  </w:style>
  <w:style w:type="paragraph" w:styleId="TableHeadBold">
    <w:name w:val="TableHeadBold"/>
    <w:basedOn w:val="Normal"/>
    <w:qFormat/>
    <w:pPr>
      <w:widowControl w:val="false"/>
      <w:autoSpaceDE w:val="false"/>
      <w:spacing w:before="40" w:after="40"/>
      <w:ind w:left="57" w:right="57" w:hanging="0"/>
    </w:pPr>
    <w:rPr>
      <w:rFonts w:cs="Arial Bold"/>
      <w:b/>
      <w:bCs/>
      <w:sz w:val="16"/>
      <w:szCs w:val="18"/>
    </w:rPr>
  </w:style>
  <w:style w:type="paragraph" w:styleId="TableHeadCenteredBold">
    <w:name w:val="TableHeadCenteredBold"/>
    <w:basedOn w:val="Normal"/>
    <w:qFormat/>
    <w:pPr>
      <w:widowControl w:val="false"/>
      <w:autoSpaceDE w:val="false"/>
      <w:spacing w:before="40" w:after="40"/>
      <w:ind w:left="57" w:right="57" w:hanging="0"/>
      <w:jc w:val="center"/>
    </w:pPr>
    <w:rPr>
      <w:rFonts w:cs="Arial Bold"/>
      <w:b/>
      <w:bCs/>
      <w:sz w:val="16"/>
      <w:szCs w:val="18"/>
    </w:rPr>
  </w:style>
  <w:style w:type="paragraph" w:styleId="TableHeadCenteredItalic">
    <w:name w:val="TableHeadCenteredItalic"/>
    <w:basedOn w:val="Normal"/>
    <w:qFormat/>
    <w:pPr>
      <w:widowControl w:val="false"/>
      <w:autoSpaceDE w:val="false"/>
      <w:spacing w:before="40" w:after="40"/>
      <w:ind w:left="57" w:right="57" w:hanging="0"/>
      <w:jc w:val="center"/>
    </w:pPr>
    <w:rPr>
      <w:rFonts w:cs="Arial"/>
      <w:i/>
      <w:iCs/>
      <w:sz w:val="16"/>
      <w:szCs w:val="18"/>
    </w:rPr>
  </w:style>
  <w:style w:type="paragraph" w:styleId="TableHeadItalic">
    <w:name w:val="TableHeadItalic"/>
    <w:basedOn w:val="Normal"/>
    <w:qFormat/>
    <w:pPr>
      <w:widowControl w:val="false"/>
      <w:autoSpaceDE w:val="false"/>
      <w:spacing w:before="40" w:after="40"/>
      <w:ind w:left="57" w:right="57" w:hanging="0"/>
    </w:pPr>
    <w:rPr>
      <w:rFonts w:cs="Arial"/>
      <w:i/>
      <w:iCs/>
      <w:sz w:val="16"/>
      <w:szCs w:val="18"/>
    </w:rPr>
  </w:style>
  <w:style w:type="paragraph" w:styleId="TableIndt1">
    <w:name w:val="TableIndt1"/>
    <w:basedOn w:val="Normal"/>
    <w:qFormat/>
    <w:pPr>
      <w:widowControl w:val="false"/>
      <w:tabs>
        <w:tab w:val="clear" w:pos="720"/>
        <w:tab w:val="left" w:pos="567" w:leader="none"/>
      </w:tabs>
      <w:autoSpaceDE w:val="false"/>
      <w:spacing w:before="40" w:after="200"/>
      <w:ind w:left="567" w:right="57" w:hanging="510"/>
    </w:pPr>
    <w:rPr>
      <w:rFonts w:cs="Arial"/>
      <w:color w:val="000000"/>
      <w:sz w:val="16"/>
      <w:szCs w:val="18"/>
    </w:rPr>
  </w:style>
  <w:style w:type="paragraph" w:styleId="TableIndt12">
    <w:name w:val="TableIndt1_2"/>
    <w:basedOn w:val="Normal"/>
    <w:qFormat/>
    <w:pPr>
      <w:tabs>
        <w:tab w:val="clear" w:pos="720"/>
        <w:tab w:val="left" w:pos="567" w:leader="none"/>
        <w:tab w:val="left" w:pos="1134" w:leader="none"/>
      </w:tabs>
      <w:ind w:left="1191" w:right="57" w:hanging="1134"/>
    </w:pPr>
    <w:rPr>
      <w:sz w:val="16"/>
    </w:rPr>
  </w:style>
  <w:style w:type="paragraph" w:styleId="TableIndt12i">
    <w:name w:val="TableIndt1_2i"/>
    <w:basedOn w:val="Normal"/>
    <w:qFormat/>
    <w:pPr>
      <w:tabs>
        <w:tab w:val="clear" w:pos="720"/>
        <w:tab w:val="left" w:pos="57" w:leader="none"/>
        <w:tab w:val="right" w:pos="1021" w:leader="none"/>
        <w:tab w:val="left" w:pos="1134" w:leader="none"/>
      </w:tabs>
      <w:ind w:left="1134" w:hanging="1134"/>
    </w:pPr>
    <w:rPr>
      <w:sz w:val="16"/>
    </w:rPr>
  </w:style>
  <w:style w:type="paragraph" w:styleId="TableIndt1Hang">
    <w:name w:val="TableIndt1Hang"/>
    <w:basedOn w:val="Normal"/>
    <w:qFormat/>
    <w:pPr>
      <w:widowControl w:val="false"/>
      <w:autoSpaceDE w:val="false"/>
      <w:spacing w:before="40" w:after="40"/>
      <w:ind w:left="567" w:right="57" w:hanging="0"/>
    </w:pPr>
    <w:rPr>
      <w:rFonts w:cs="Arial"/>
      <w:sz w:val="16"/>
      <w:szCs w:val="18"/>
    </w:rPr>
  </w:style>
  <w:style w:type="paragraph" w:styleId="TableIndt1HangFLIndt">
    <w:name w:val="TableIndt1HangFLIndt"/>
    <w:basedOn w:val="Normal"/>
    <w:qFormat/>
    <w:pPr>
      <w:widowControl w:val="false"/>
      <w:autoSpaceDE w:val="false"/>
      <w:spacing w:before="40" w:after="40"/>
      <w:ind w:left="567" w:right="57" w:firstLine="284"/>
    </w:pPr>
    <w:rPr>
      <w:rFonts w:cs="Arial"/>
      <w:sz w:val="16"/>
      <w:szCs w:val="18"/>
    </w:rPr>
  </w:style>
  <w:style w:type="paragraph" w:styleId="TableIndt1i">
    <w:name w:val="TableIndt1i"/>
    <w:basedOn w:val="Normal"/>
    <w:qFormat/>
    <w:pPr>
      <w:tabs>
        <w:tab w:val="clear" w:pos="720"/>
        <w:tab w:val="right" w:pos="454" w:leader="none"/>
        <w:tab w:val="left" w:pos="567" w:leader="none"/>
      </w:tabs>
      <w:autoSpaceDE w:val="false"/>
      <w:spacing w:before="0" w:after="200"/>
      <w:ind w:left="567" w:hanging="567"/>
    </w:pPr>
    <w:rPr>
      <w:rFonts w:cs="AdvTimes"/>
      <w:sz w:val="16"/>
      <w:szCs w:val="16"/>
    </w:rPr>
  </w:style>
  <w:style w:type="paragraph" w:styleId="TableIndt2">
    <w:name w:val="TableIndt2"/>
    <w:basedOn w:val="Normal"/>
    <w:qFormat/>
    <w:pPr>
      <w:widowControl w:val="false"/>
      <w:tabs>
        <w:tab w:val="clear" w:pos="720"/>
        <w:tab w:val="left" w:pos="567" w:leader="none"/>
        <w:tab w:val="left" w:pos="1134" w:leader="none"/>
      </w:tabs>
      <w:autoSpaceDE w:val="false"/>
      <w:spacing w:before="40" w:after="40"/>
      <w:ind w:left="1134" w:right="57" w:hanging="1134"/>
    </w:pPr>
    <w:rPr>
      <w:rFonts w:cs="Arial"/>
      <w:sz w:val="16"/>
      <w:szCs w:val="18"/>
    </w:rPr>
  </w:style>
  <w:style w:type="paragraph" w:styleId="TableIndt23">
    <w:name w:val="TableIndt2_3"/>
    <w:basedOn w:val="Normal"/>
    <w:qFormat/>
    <w:pPr>
      <w:tabs>
        <w:tab w:val="clear" w:pos="720"/>
        <w:tab w:val="left" w:pos="567" w:leader="none"/>
        <w:tab w:val="left" w:pos="1134" w:leader="none"/>
      </w:tabs>
      <w:ind w:left="1701" w:right="57" w:hanging="1701"/>
    </w:pPr>
    <w:rPr>
      <w:sz w:val="16"/>
    </w:rPr>
  </w:style>
  <w:style w:type="paragraph" w:styleId="TableIndt2Hang">
    <w:name w:val="TableIndt2Hang"/>
    <w:basedOn w:val="Normal"/>
    <w:qFormat/>
    <w:pPr>
      <w:widowControl w:val="false"/>
      <w:autoSpaceDE w:val="false"/>
      <w:spacing w:before="40" w:after="40"/>
      <w:ind w:left="1134" w:right="57" w:hanging="0"/>
    </w:pPr>
    <w:rPr>
      <w:rFonts w:cs="Arial"/>
      <w:sz w:val="16"/>
      <w:szCs w:val="18"/>
    </w:rPr>
  </w:style>
  <w:style w:type="paragraph" w:styleId="TableIndt2HangFLIndt">
    <w:name w:val="TableIndt2HangFLIndt"/>
    <w:basedOn w:val="Normal"/>
    <w:qFormat/>
    <w:pPr>
      <w:widowControl w:val="false"/>
      <w:autoSpaceDE w:val="false"/>
      <w:spacing w:before="40" w:after="40"/>
      <w:ind w:left="1134" w:right="57" w:firstLine="284"/>
    </w:pPr>
    <w:rPr>
      <w:rFonts w:cs="Arial"/>
      <w:sz w:val="16"/>
      <w:szCs w:val="18"/>
    </w:rPr>
  </w:style>
  <w:style w:type="paragraph" w:styleId="TableIndt2i">
    <w:name w:val="TableIndt2i"/>
    <w:basedOn w:val="Normal"/>
    <w:qFormat/>
    <w:pPr>
      <w:widowControl w:val="false"/>
      <w:tabs>
        <w:tab w:val="clear" w:pos="720"/>
        <w:tab w:val="decimal" w:pos="1021" w:leader="none"/>
        <w:tab w:val="left" w:pos="1134" w:leader="none"/>
      </w:tabs>
      <w:autoSpaceDE w:val="false"/>
      <w:spacing w:before="40" w:after="200"/>
      <w:ind w:left="1134" w:right="57" w:hanging="1134"/>
    </w:pPr>
    <w:rPr>
      <w:rFonts w:cs="Arial"/>
      <w:sz w:val="16"/>
      <w:szCs w:val="18"/>
    </w:rPr>
  </w:style>
  <w:style w:type="paragraph" w:styleId="TableIndt3">
    <w:name w:val="TableIndt3"/>
    <w:basedOn w:val="Normal"/>
    <w:qFormat/>
    <w:pPr>
      <w:widowControl w:val="false"/>
      <w:tabs>
        <w:tab w:val="clear" w:pos="720"/>
        <w:tab w:val="left" w:pos="1134" w:leader="none"/>
        <w:tab w:val="left" w:pos="1701" w:leader="none"/>
      </w:tabs>
      <w:autoSpaceDE w:val="false"/>
      <w:ind w:left="1701" w:right="57" w:hanging="1701"/>
    </w:pPr>
    <w:rPr>
      <w:rFonts w:cs="Arial"/>
      <w:sz w:val="16"/>
      <w:szCs w:val="18"/>
    </w:rPr>
  </w:style>
  <w:style w:type="paragraph" w:styleId="TableIndt3Hang">
    <w:name w:val="TableIndt3Hang"/>
    <w:basedOn w:val="Normal"/>
    <w:qFormat/>
    <w:pPr>
      <w:widowControl w:val="false"/>
      <w:autoSpaceDE w:val="false"/>
      <w:spacing w:before="40" w:after="200"/>
      <w:ind w:left="1701" w:right="57" w:hanging="0"/>
    </w:pPr>
    <w:rPr>
      <w:rFonts w:cs="Arial"/>
      <w:sz w:val="16"/>
      <w:szCs w:val="18"/>
    </w:rPr>
  </w:style>
  <w:style w:type="paragraph" w:styleId="TableIndt3i">
    <w:name w:val="TableIndt3i"/>
    <w:basedOn w:val="Normal"/>
    <w:qFormat/>
    <w:pPr>
      <w:tabs>
        <w:tab w:val="clear" w:pos="720"/>
        <w:tab w:val="right" w:pos="1588" w:leader="none"/>
        <w:tab w:val="left" w:pos="1701" w:leader="none"/>
      </w:tabs>
      <w:ind w:left="1701" w:hanging="1701"/>
    </w:pPr>
    <w:rPr>
      <w:sz w:val="16"/>
    </w:rPr>
  </w:style>
  <w:style w:type="paragraph" w:styleId="TableIndt4">
    <w:name w:val="TableIndt4"/>
    <w:basedOn w:val="Normal"/>
    <w:qFormat/>
    <w:pPr>
      <w:widowControl w:val="false"/>
      <w:tabs>
        <w:tab w:val="clear" w:pos="720"/>
        <w:tab w:val="left" w:pos="1701" w:leader="none"/>
        <w:tab w:val="left" w:pos="2268" w:leader="none"/>
      </w:tabs>
      <w:autoSpaceDE w:val="false"/>
      <w:ind w:left="2268" w:right="57" w:hanging="2268"/>
    </w:pPr>
    <w:rPr>
      <w:rFonts w:cs="Arial"/>
      <w:sz w:val="16"/>
      <w:szCs w:val="18"/>
    </w:rPr>
  </w:style>
  <w:style w:type="paragraph" w:styleId="TableIndt4Hang">
    <w:name w:val="TableIndt4Hang"/>
    <w:basedOn w:val="Normal"/>
    <w:qFormat/>
    <w:pPr>
      <w:widowControl w:val="false"/>
      <w:autoSpaceDE w:val="false"/>
      <w:spacing w:before="40" w:after="200"/>
      <w:ind w:left="2268" w:right="57" w:hanging="0"/>
    </w:pPr>
    <w:rPr>
      <w:rFonts w:cs="Arial"/>
      <w:sz w:val="16"/>
      <w:szCs w:val="18"/>
    </w:rPr>
  </w:style>
  <w:style w:type="paragraph" w:styleId="TableItem">
    <w:name w:val="TableItem"/>
    <w:basedOn w:val="Normal"/>
    <w:qFormat/>
    <w:pPr>
      <w:tabs>
        <w:tab w:val="clear" w:pos="720"/>
        <w:tab w:val="left" w:pos="964" w:leader="none"/>
        <w:tab w:val="left" w:pos="1418" w:leader="none"/>
      </w:tabs>
      <w:ind w:left="1418" w:hanging="1418"/>
    </w:pPr>
    <w:rPr>
      <w:sz w:val="16"/>
    </w:rPr>
  </w:style>
  <w:style w:type="paragraph" w:styleId="TableItemHang">
    <w:name w:val="TableItemHang"/>
    <w:basedOn w:val="Normal"/>
    <w:qFormat/>
    <w:pPr>
      <w:ind w:left="1418" w:hanging="0"/>
    </w:pPr>
    <w:rPr>
      <w:sz w:val="16"/>
    </w:rPr>
  </w:style>
  <w:style w:type="paragraph" w:styleId="TableItemIndent">
    <w:name w:val="TableItemIndent"/>
    <w:basedOn w:val="Normal"/>
    <w:qFormat/>
    <w:pPr>
      <w:tabs>
        <w:tab w:val="clear" w:pos="720"/>
        <w:tab w:val="left" w:pos="1985" w:leader="none"/>
        <w:tab w:val="left" w:pos="2552" w:leader="none"/>
      </w:tabs>
      <w:ind w:left="2552" w:hanging="2552"/>
    </w:pPr>
    <w:rPr>
      <w:sz w:val="16"/>
    </w:rPr>
  </w:style>
  <w:style w:type="paragraph" w:styleId="TableLeftBold">
    <w:name w:val="TableLeftBold"/>
    <w:basedOn w:val="Normal"/>
    <w:qFormat/>
    <w:pPr>
      <w:spacing w:before="40" w:after="40"/>
      <w:ind w:left="57" w:right="57" w:hanging="0"/>
    </w:pPr>
    <w:rPr>
      <w:b/>
      <w:sz w:val="16"/>
    </w:rPr>
  </w:style>
  <w:style w:type="paragraph" w:styleId="TableHead">
    <w:name w:val="Table Head"/>
    <w:basedOn w:val="Normal"/>
    <w:qFormat/>
    <w:pPr>
      <w:tabs>
        <w:tab w:val="clear" w:pos="720"/>
        <w:tab w:val="left" w:pos="227" w:leader="none"/>
        <w:tab w:val="left" w:pos="624" w:leader="none"/>
      </w:tabs>
      <w:spacing w:before="0" w:after="60"/>
    </w:pPr>
    <w:rPr>
      <w:rFonts w:ascii="Times New Roman" w:hAnsi="Times New Roman" w:cs="Times New Roman"/>
      <w:b/>
    </w:rPr>
  </w:style>
  <w:style w:type="paragraph" w:styleId="TablePara1">
    <w:name w:val="TablePara1."/>
    <w:basedOn w:val="Normal"/>
    <w:qFormat/>
    <w:pPr>
      <w:tabs>
        <w:tab w:val="clear" w:pos="720"/>
        <w:tab w:val="left" w:pos="113" w:leader="none"/>
        <w:tab w:val="left" w:pos="510" w:leader="none"/>
      </w:tabs>
      <w:spacing w:before="40" w:after="200"/>
      <w:ind w:left="567" w:right="57" w:hanging="510"/>
    </w:pPr>
    <w:rPr>
      <w:sz w:val="16"/>
    </w:rPr>
  </w:style>
  <w:style w:type="paragraph" w:styleId="TablePara11">
    <w:name w:val="TablePara1.1"/>
    <w:basedOn w:val="Normal"/>
    <w:qFormat/>
    <w:pPr>
      <w:tabs>
        <w:tab w:val="clear" w:pos="720"/>
        <w:tab w:val="left" w:pos="510" w:leader="none"/>
        <w:tab w:val="left" w:pos="1134" w:leader="none"/>
      </w:tabs>
      <w:ind w:left="1134" w:hanging="1134"/>
    </w:pPr>
    <w:rPr>
      <w:sz w:val="16"/>
      <w:lang w:val="en-US"/>
    </w:rPr>
  </w:style>
  <w:style w:type="paragraph" w:styleId="TablePara11111">
    <w:name w:val="TablePara1.1.1.1.1"/>
    <w:basedOn w:val="Normal"/>
    <w:qFormat/>
    <w:pPr>
      <w:tabs>
        <w:tab w:val="clear" w:pos="720"/>
        <w:tab w:val="left" w:pos="1021" w:leader="none"/>
        <w:tab w:val="left" w:pos="2268" w:leader="none"/>
      </w:tabs>
      <w:ind w:left="2268" w:hanging="2268"/>
    </w:pPr>
    <w:rPr>
      <w:sz w:val="16"/>
    </w:rPr>
  </w:style>
  <w:style w:type="paragraph" w:styleId="TablePara1Hang">
    <w:name w:val="TablePara1.Hang"/>
    <w:basedOn w:val="Normal"/>
    <w:qFormat/>
    <w:pPr>
      <w:ind w:left="510" w:hanging="0"/>
    </w:pPr>
    <w:rPr>
      <w:sz w:val="16"/>
    </w:rPr>
  </w:style>
  <w:style w:type="paragraph" w:styleId="TablePara2">
    <w:name w:val="TablePara2"/>
    <w:basedOn w:val="Normal"/>
    <w:qFormat/>
    <w:pPr>
      <w:tabs>
        <w:tab w:val="clear" w:pos="720"/>
        <w:tab w:val="left" w:pos="1134" w:leader="none"/>
        <w:tab w:val="left" w:pos="1701" w:leader="none"/>
      </w:tabs>
      <w:ind w:left="1134" w:hanging="567"/>
    </w:pPr>
    <w:rPr>
      <w:sz w:val="16"/>
    </w:rPr>
  </w:style>
  <w:style w:type="paragraph" w:styleId="TableParaHang">
    <w:name w:val="TableParaHang"/>
    <w:basedOn w:val="Normal"/>
    <w:qFormat/>
    <w:pPr>
      <w:ind w:left="624" w:hanging="0"/>
    </w:pPr>
    <w:rPr>
      <w:sz w:val="16"/>
    </w:rPr>
  </w:style>
  <w:style w:type="paragraph" w:styleId="TableParaIndent">
    <w:name w:val="TableParaIndent"/>
    <w:basedOn w:val="Normal"/>
    <w:qFormat/>
    <w:pPr>
      <w:tabs>
        <w:tab w:val="clear" w:pos="720"/>
        <w:tab w:val="left" w:pos="1418" w:leader="none"/>
        <w:tab w:val="left" w:pos="1701" w:leader="none"/>
      </w:tabs>
      <w:ind w:left="1701" w:hanging="1701"/>
    </w:pPr>
    <w:rPr>
      <w:sz w:val="16"/>
    </w:rPr>
  </w:style>
  <w:style w:type="paragraph" w:styleId="TableRightAlign">
    <w:name w:val="TableRightAlign"/>
    <w:basedOn w:val="Normal"/>
    <w:qFormat/>
    <w:pPr>
      <w:ind w:left="57" w:right="57" w:hanging="0"/>
      <w:jc w:val="right"/>
    </w:pPr>
    <w:rPr>
      <w:sz w:val="16"/>
    </w:rPr>
  </w:style>
  <w:style w:type="paragraph" w:styleId="TableRightIndent">
    <w:name w:val="TableRightIndent"/>
    <w:basedOn w:val="Normal"/>
    <w:qFormat/>
    <w:pPr>
      <w:ind w:left="113" w:hanging="0"/>
      <w:jc w:val="right"/>
    </w:pPr>
    <w:rPr>
      <w:sz w:val="16"/>
    </w:rPr>
  </w:style>
  <w:style w:type="paragraph" w:styleId="TableSpacer">
    <w:name w:val="TableSpacer"/>
    <w:basedOn w:val="Normal"/>
    <w:qFormat/>
    <w:pPr>
      <w:widowControl w:val="false"/>
      <w:autoSpaceDE w:val="false"/>
    </w:pPr>
    <w:rPr>
      <w:rFonts w:cs="Arial"/>
      <w:sz w:val="8"/>
      <w:szCs w:val="8"/>
    </w:rPr>
  </w:style>
  <w:style w:type="paragraph" w:styleId="TableSubPara">
    <w:name w:val="TableSubPara"/>
    <w:basedOn w:val="Normal"/>
    <w:qFormat/>
    <w:pPr>
      <w:tabs>
        <w:tab w:val="clear" w:pos="720"/>
        <w:tab w:val="right" w:pos="907" w:leader="none"/>
        <w:tab w:val="left" w:pos="1021" w:leader="none"/>
      </w:tabs>
      <w:ind w:left="1021" w:hanging="1021"/>
    </w:pPr>
    <w:rPr>
      <w:sz w:val="16"/>
    </w:rPr>
  </w:style>
  <w:style w:type="paragraph" w:styleId="TableSubPara2">
    <w:name w:val="TableSubPara2"/>
    <w:basedOn w:val="Normal"/>
    <w:qFormat/>
    <w:pPr>
      <w:tabs>
        <w:tab w:val="clear" w:pos="720"/>
        <w:tab w:val="right" w:pos="510" w:leader="none"/>
        <w:tab w:val="left" w:pos="624" w:leader="none"/>
      </w:tabs>
      <w:spacing w:before="40" w:after="200"/>
      <w:ind w:left="624" w:hanging="624"/>
    </w:pPr>
    <w:rPr>
      <w:sz w:val="16"/>
    </w:rPr>
  </w:style>
  <w:style w:type="paragraph" w:styleId="TableSubParaIndent">
    <w:name w:val="TableSubParaIndent"/>
    <w:basedOn w:val="Normal"/>
    <w:qFormat/>
    <w:pPr>
      <w:tabs>
        <w:tab w:val="clear" w:pos="720"/>
        <w:tab w:val="right" w:pos="1814" w:leader="none"/>
        <w:tab w:val="left" w:pos="1985" w:leader="none"/>
      </w:tabs>
      <w:ind w:left="1985" w:hanging="1985"/>
    </w:pPr>
    <w:rPr>
      <w:sz w:val="16"/>
    </w:rPr>
  </w:style>
  <w:style w:type="paragraph" w:styleId="TableSubParaItem">
    <w:name w:val="TableSubParaItem"/>
    <w:basedOn w:val="TableItem"/>
    <w:qFormat/>
    <w:pPr>
      <w:tabs>
        <w:tab w:val="clear" w:pos="1418"/>
        <w:tab w:val="right" w:pos="907" w:leader="none"/>
        <w:tab w:val="left" w:pos="964" w:leader="none"/>
      </w:tabs>
    </w:pPr>
    <w:rPr/>
  </w:style>
  <w:style w:type="paragraph" w:styleId="TableSubSection">
    <w:name w:val="TableSubSection"/>
    <w:basedOn w:val="Normal"/>
    <w:qFormat/>
    <w:pPr>
      <w:tabs>
        <w:tab w:val="clear" w:pos="720"/>
        <w:tab w:val="left" w:pos="113" w:leader="none"/>
        <w:tab w:val="left" w:pos="510" w:leader="none"/>
      </w:tabs>
      <w:ind w:left="623" w:hanging="510"/>
    </w:pPr>
    <w:rPr>
      <w:sz w:val="16"/>
    </w:rPr>
  </w:style>
  <w:style w:type="paragraph" w:styleId="TableBody">
    <w:name w:val="Table Body"/>
    <w:basedOn w:val="Normal"/>
    <w:qFormat/>
    <w:pPr>
      <w:spacing w:before="0" w:after="60"/>
    </w:pPr>
    <w:rPr>
      <w:rFonts w:ascii="Times New Roman" w:hAnsi="Times New Roman" w:cs="Times New Roman"/>
    </w:rPr>
  </w:style>
  <w:style w:type="paragraph" w:styleId="TableText7pt">
    <w:name w:val="TableText7pt"/>
    <w:basedOn w:val="Normal"/>
    <w:qFormat/>
    <w:pPr>
      <w:widowControl w:val="false"/>
      <w:autoSpaceDE w:val="false"/>
      <w:spacing w:before="40" w:after="40"/>
      <w:ind w:left="57" w:right="57" w:hanging="0"/>
    </w:pPr>
    <w:rPr>
      <w:rFonts w:cs="Arial"/>
      <w:sz w:val="14"/>
      <w:szCs w:val="14"/>
    </w:rPr>
  </w:style>
  <w:style w:type="paragraph" w:styleId="TableText7ptCenter">
    <w:name w:val="TableText7ptCenter"/>
    <w:basedOn w:val="Normal"/>
    <w:qFormat/>
    <w:pPr>
      <w:widowControl w:val="false"/>
      <w:autoSpaceDE w:val="false"/>
      <w:spacing w:before="40" w:after="40"/>
      <w:ind w:left="57" w:right="57" w:hanging="0"/>
      <w:jc w:val="center"/>
    </w:pPr>
    <w:rPr>
      <w:rFonts w:cs="Arial"/>
      <w:sz w:val="14"/>
      <w:szCs w:val="14"/>
    </w:rPr>
  </w:style>
  <w:style w:type="paragraph" w:styleId="TableText7ptCenterBold">
    <w:name w:val="TableText7ptCenterBold"/>
    <w:basedOn w:val="Normal"/>
    <w:qFormat/>
    <w:pPr>
      <w:spacing w:before="40" w:after="40"/>
      <w:jc w:val="center"/>
    </w:pPr>
    <w:rPr>
      <w:b/>
      <w:sz w:val="14"/>
      <w:szCs w:val="16"/>
    </w:rPr>
  </w:style>
  <w:style w:type="paragraph" w:styleId="TableText7ptCentered">
    <w:name w:val="TableText7ptCentered"/>
    <w:basedOn w:val="Normal"/>
    <w:qFormat/>
    <w:pPr>
      <w:jc w:val="center"/>
    </w:pPr>
    <w:rPr>
      <w:sz w:val="14"/>
    </w:rPr>
  </w:style>
  <w:style w:type="paragraph" w:styleId="TableText7ptIndt1">
    <w:name w:val="TableText7ptIndt1"/>
    <w:basedOn w:val="Normal"/>
    <w:qFormat/>
    <w:pPr>
      <w:widowControl w:val="false"/>
      <w:tabs>
        <w:tab w:val="clear" w:pos="720"/>
        <w:tab w:val="left" w:pos="284" w:leader="none"/>
        <w:tab w:val="left" w:pos="341" w:leader="none"/>
      </w:tabs>
      <w:autoSpaceDE w:val="false"/>
      <w:spacing w:before="40" w:after="200"/>
      <w:ind w:left="341" w:hanging="284"/>
    </w:pPr>
    <w:rPr>
      <w:rFonts w:cs="Arial"/>
      <w:sz w:val="14"/>
      <w:szCs w:val="14"/>
    </w:rPr>
  </w:style>
  <w:style w:type="paragraph" w:styleId="TableText7ptIndt1Hang">
    <w:name w:val="TableText7ptIndt1Hang"/>
    <w:basedOn w:val="Normal"/>
    <w:qFormat/>
    <w:pPr>
      <w:widowControl w:val="false"/>
      <w:autoSpaceDE w:val="false"/>
      <w:ind w:left="284" w:hanging="0"/>
    </w:pPr>
    <w:rPr>
      <w:rFonts w:cs="Arial"/>
      <w:sz w:val="14"/>
      <w:szCs w:val="14"/>
    </w:rPr>
  </w:style>
  <w:style w:type="paragraph" w:styleId="TableText7ptRight">
    <w:name w:val="TableText7ptRight"/>
    <w:basedOn w:val="Normal"/>
    <w:qFormat/>
    <w:pPr>
      <w:widowControl w:val="false"/>
      <w:autoSpaceDE w:val="false"/>
      <w:jc w:val="right"/>
    </w:pPr>
    <w:rPr>
      <w:rFonts w:cs="Arial"/>
      <w:sz w:val="14"/>
      <w:szCs w:val="14"/>
    </w:rPr>
  </w:style>
  <w:style w:type="paragraph" w:styleId="TableText7ptRightAlign">
    <w:name w:val="TableText7ptRightAlign"/>
    <w:basedOn w:val="Normal"/>
    <w:qFormat/>
    <w:pPr>
      <w:jc w:val="right"/>
    </w:pPr>
    <w:rPr>
      <w:sz w:val="14"/>
      <w:lang w:val="en-US"/>
    </w:rPr>
  </w:style>
  <w:style w:type="paragraph" w:styleId="TableTextBold">
    <w:name w:val="TableTextBold"/>
    <w:basedOn w:val="Normal"/>
    <w:qFormat/>
    <w:pPr>
      <w:ind w:left="113" w:hanging="0"/>
    </w:pPr>
    <w:rPr>
      <w:b/>
      <w:sz w:val="16"/>
    </w:rPr>
  </w:style>
  <w:style w:type="paragraph" w:styleId="TableTextFLIndent">
    <w:name w:val="TableTextFLIndent"/>
    <w:basedOn w:val="Normal"/>
    <w:qFormat/>
    <w:pPr>
      <w:tabs>
        <w:tab w:val="clear" w:pos="720"/>
        <w:tab w:val="left" w:pos="567" w:leader="none"/>
      </w:tabs>
      <w:ind w:left="57" w:right="57" w:firstLine="284"/>
    </w:pPr>
    <w:rPr>
      <w:sz w:val="16"/>
    </w:rPr>
  </w:style>
  <w:style w:type="paragraph" w:styleId="TableTextFLIndt">
    <w:name w:val="TableTextFLIndt"/>
    <w:basedOn w:val="Normal"/>
    <w:qFormat/>
    <w:pPr>
      <w:widowControl w:val="false"/>
      <w:autoSpaceDE w:val="false"/>
      <w:spacing w:before="40" w:after="200"/>
      <w:ind w:left="57" w:right="57" w:firstLine="284"/>
    </w:pPr>
    <w:rPr>
      <w:rFonts w:cs="Arial"/>
      <w:sz w:val="16"/>
      <w:szCs w:val="18"/>
    </w:rPr>
  </w:style>
  <w:style w:type="paragraph" w:styleId="TableTextHang">
    <w:name w:val="TableTextHang"/>
    <w:basedOn w:val="Normal"/>
    <w:qFormat/>
    <w:pPr>
      <w:ind w:left="284" w:right="57" w:hanging="227"/>
    </w:pPr>
    <w:rPr>
      <w:sz w:val="16"/>
    </w:rPr>
  </w:style>
  <w:style w:type="paragraph" w:styleId="TableTextindent">
    <w:name w:val="TableTextindent"/>
    <w:basedOn w:val="Normal"/>
    <w:qFormat/>
    <w:pPr>
      <w:tabs>
        <w:tab w:val="clear" w:pos="720"/>
        <w:tab w:val="left" w:pos="851" w:leader="none"/>
      </w:tabs>
      <w:ind w:left="851" w:hanging="851"/>
    </w:pPr>
    <w:rPr>
      <w:sz w:val="16"/>
    </w:rPr>
  </w:style>
  <w:style w:type="paragraph" w:styleId="TableTextIndent1">
    <w:name w:val="TableTextIndent"/>
    <w:basedOn w:val="Normal"/>
    <w:qFormat/>
    <w:pPr>
      <w:tabs>
        <w:tab w:val="clear" w:pos="720"/>
        <w:tab w:val="left" w:pos="1134" w:leader="none"/>
      </w:tabs>
      <w:spacing w:before="40" w:after="200"/>
      <w:ind w:left="567" w:hanging="0"/>
    </w:pPr>
    <w:rPr>
      <w:sz w:val="16"/>
    </w:rPr>
  </w:style>
  <w:style w:type="paragraph" w:styleId="Sottotitolo">
    <w:name w:val="Subtitle"/>
    <w:basedOn w:val="Normal"/>
    <w:next w:val="Normal"/>
    <w:qFormat/>
    <w:pPr>
      <w:spacing w:before="120" w:after="120"/>
      <w:outlineLvl w:val="1"/>
    </w:pPr>
    <w:rPr>
      <w:rFonts w:ascii="Times New Roman" w:hAnsi="Times New Roman" w:eastAsia="Times New Roman" w:cs="Times New Roman"/>
      <w:b/>
      <w:sz w:val="28"/>
      <w:szCs w:val="24"/>
      <w:lang w:val="en-ZA"/>
    </w:rPr>
  </w:style>
  <w:style w:type="paragraph" w:styleId="Style31">
    <w:name w:val="Style3"/>
    <w:basedOn w:val="Sottotitolo"/>
    <w:qFormat/>
    <w:pPr/>
    <w:rPr>
      <w:rFonts w:eastAsia="Calibri"/>
      <w:lang w:val="en-US"/>
    </w:rPr>
  </w:style>
  <w:style w:type="paragraph" w:styleId="Style41">
    <w:name w:val="Style4"/>
    <w:basedOn w:val="Titolo"/>
    <w:qFormat/>
    <w:pPr/>
    <w:rPr>
      <w:rFonts w:eastAsia="Calibri"/>
      <w:lang w:val="en-US"/>
    </w:rPr>
  </w:style>
  <w:style w:type="paragraph" w:styleId="Puntoelenco">
    <w:name w:val="Punto elenco"/>
    <w:basedOn w:val="Normal"/>
    <w:qFormat/>
    <w:pPr>
      <w:tabs>
        <w:tab w:val="clear" w:pos="720"/>
        <w:tab w:val="left" w:pos="284" w:leader="none"/>
      </w:tabs>
      <w:spacing w:before="0" w:after="60"/>
      <w:ind w:left="284" w:hanging="284"/>
      <w:contextualSpacing/>
    </w:pPr>
    <w:rPr>
      <w:rFonts w:ascii="Times New Roman" w:hAnsi="Times New Roman" w:cs="Times New Roman"/>
      <w:sz w:val="24"/>
    </w:rPr>
  </w:style>
  <w:style w:type="paragraph" w:styleId="Table">
    <w:name w:val="Table"/>
    <w:basedOn w:val="Normal"/>
    <w:qFormat/>
    <w:pPr>
      <w:jc w:val="center"/>
    </w:pPr>
    <w:rPr>
      <w:sz w:val="16"/>
    </w:rPr>
  </w:style>
  <w:style w:type="paragraph" w:styleId="TableSource">
    <w:name w:val="Table Source"/>
    <w:basedOn w:val="PartTitle"/>
    <w:qFormat/>
    <w:pPr>
      <w:spacing w:before="60" w:after="120"/>
    </w:pPr>
    <w:rPr>
      <w:b w:val="false"/>
      <w:sz w:val="20"/>
    </w:rPr>
  </w:style>
  <w:style w:type="paragraph" w:styleId="BoxText">
    <w:name w:val="Box Text"/>
    <w:basedOn w:val="BoxNote"/>
    <w:qFormat/>
    <w:pPr>
      <w:pBdr>
        <w:top w:val="single" w:sz="4" w:space="1" w:color="000000"/>
        <w:left w:val="single" w:sz="4" w:space="4" w:color="000000"/>
        <w:bottom w:val="single" w:sz="4" w:space="1" w:color="000000"/>
        <w:right w:val="single" w:sz="4" w:space="4" w:color="000000"/>
      </w:pBdr>
      <w:spacing w:before="0" w:after="60"/>
      <w:ind w:left="0" w:right="0" w:hanging="0"/>
    </w:pPr>
    <w:rPr>
      <w:rFonts w:ascii="Times New Roman" w:hAnsi="Times New Roman" w:eastAsia="Calibri" w:cs="Times New Roman"/>
      <w:lang w:val="en-US"/>
    </w:rPr>
  </w:style>
  <w:style w:type="paragraph" w:styleId="BoxAuthor">
    <w:name w:val="Box Author"/>
    <w:basedOn w:val="Normal"/>
    <w:qFormat/>
    <w:pPr>
      <w:pBdr>
        <w:top w:val="single" w:sz="4" w:space="1" w:color="000000"/>
        <w:left w:val="single" w:sz="4" w:space="4" w:color="000000"/>
        <w:bottom w:val="single" w:sz="4" w:space="1" w:color="000000"/>
        <w:right w:val="single" w:sz="4" w:space="4" w:color="000000"/>
      </w:pBdr>
      <w:spacing w:before="0" w:after="60"/>
      <w:jc w:val="right"/>
    </w:pPr>
    <w:rPr>
      <w:rFonts w:ascii="Times New Roman" w:hAnsi="Times New Roman" w:eastAsia="Calibri" w:cs="SlimbachStd-Book"/>
      <w:sz w:val="16"/>
      <w:szCs w:val="18"/>
      <w:lang w:val="en-US"/>
    </w:rPr>
  </w:style>
  <w:style w:type="paragraph" w:styleId="ParaHint">
    <w:name w:val="Para Hint"/>
    <w:basedOn w:val="Normal"/>
    <w:qFormat/>
    <w:pPr>
      <w:spacing w:before="120" w:after="120"/>
    </w:pPr>
    <w:rPr>
      <w:rFonts w:ascii="Times New Roman" w:hAnsi="Times New Roman" w:eastAsia="Calibri" w:cs="HelveticaNeueLTStd-Roman"/>
      <w:szCs w:val="18"/>
      <w:lang w:val="en-US"/>
    </w:rPr>
  </w:style>
  <w:style w:type="paragraph" w:styleId="Box1Head">
    <w:name w:val="Box1 Head"/>
    <w:basedOn w:val="Normal"/>
    <w:qFormat/>
    <w:pPr>
      <w:pBdr>
        <w:top w:val="single" w:sz="4" w:space="1" w:color="000000"/>
        <w:left w:val="single" w:sz="4" w:space="4" w:color="000000"/>
        <w:bottom w:val="single" w:sz="4" w:space="1" w:color="000000"/>
        <w:right w:val="single" w:sz="4" w:space="4" w:color="000000"/>
      </w:pBdr>
      <w:shd w:fill="BFBFBF" w:val="clear"/>
      <w:spacing w:before="240" w:after="120"/>
      <w:jc w:val="center"/>
    </w:pPr>
    <w:rPr>
      <w:rFonts w:ascii="Times New Roman" w:hAnsi="Times New Roman" w:eastAsia="Calibri" w:cs="Agenda-BoldItalic"/>
      <w:b/>
      <w:bCs/>
      <w:iCs/>
      <w:sz w:val="24"/>
      <w:szCs w:val="22"/>
      <w:lang w:val="en-US"/>
    </w:rPr>
  </w:style>
  <w:style w:type="paragraph" w:styleId="Box1Subhead">
    <w:name w:val="Box1 Subhead"/>
    <w:basedOn w:val="Normal"/>
    <w:qFormat/>
    <w:pPr>
      <w:pBdr>
        <w:top w:val="single" w:sz="4" w:space="1" w:color="000000"/>
        <w:left w:val="single" w:sz="4" w:space="4" w:color="000000"/>
        <w:bottom w:val="single" w:sz="4" w:space="1" w:color="000000"/>
        <w:right w:val="single" w:sz="4" w:space="4" w:color="000000"/>
      </w:pBdr>
      <w:shd w:fill="BFBFBF" w:val="clear"/>
      <w:spacing w:before="0" w:after="60"/>
      <w:jc w:val="center"/>
    </w:pPr>
    <w:rPr>
      <w:rFonts w:ascii="Times New Roman" w:hAnsi="Times New Roman" w:eastAsia="Calibri" w:cs="Times New Roman"/>
      <w:b/>
    </w:rPr>
  </w:style>
  <w:style w:type="paragraph" w:styleId="BoxBullet">
    <w:name w:val="Box Bullet"/>
    <w:basedOn w:val="Normal"/>
    <w:qFormat/>
    <w:pPr>
      <w:pBdr>
        <w:top w:val="single" w:sz="4" w:space="1" w:color="000000"/>
        <w:left w:val="single" w:sz="4" w:space="4" w:color="000000"/>
        <w:bottom w:val="single" w:sz="4" w:space="1" w:color="000000"/>
        <w:right w:val="single" w:sz="4" w:space="4" w:color="000000"/>
      </w:pBdr>
      <w:tabs>
        <w:tab w:val="clear" w:pos="720"/>
        <w:tab w:val="left" w:pos="284" w:leader="none"/>
      </w:tabs>
      <w:autoSpaceDE w:val="false"/>
      <w:spacing w:before="0" w:after="60"/>
      <w:ind w:left="284" w:hanging="284"/>
    </w:pPr>
    <w:rPr>
      <w:rFonts w:ascii="Times New Roman" w:hAnsi="Times New Roman" w:eastAsia="Calibri" w:cs="Times New Roman"/>
      <w:szCs w:val="24"/>
      <w:lang w:val="en-US"/>
    </w:rPr>
  </w:style>
  <w:style w:type="paragraph" w:styleId="Paragrafoelenco">
    <w:name w:val="Paragrafo elenco"/>
    <w:basedOn w:val="Normal"/>
    <w:qFormat/>
    <w:pPr>
      <w:ind w:left="720" w:hanging="0"/>
    </w:pPr>
    <w:rPr/>
  </w:style>
  <w:style w:type="paragraph" w:styleId="ParaCenter">
    <w:name w:val="Para Center"/>
    <w:basedOn w:val="Para"/>
    <w:qFormat/>
    <w:pPr>
      <w:spacing w:before="240" w:after="240"/>
      <w:jc w:val="center"/>
    </w:pPr>
    <w:rPr>
      <w:rFonts w:eastAsia="Calibri"/>
      <w:lang w:val="en-US"/>
    </w:rPr>
  </w:style>
  <w:style w:type="paragraph" w:styleId="TableBullet1">
    <w:name w:val="Table Bullet 1"/>
    <w:basedOn w:val="TableBullet"/>
    <w:qFormat/>
    <w:pPr>
      <w:ind w:left="568" w:hanging="284"/>
    </w:pPr>
    <w:rPr>
      <w:rFonts w:eastAsia="Calibri"/>
      <w:lang w:val="en-US"/>
    </w:rPr>
  </w:style>
  <w:style w:type="paragraph" w:styleId="List1">
    <w:name w:val="List 1"/>
    <w:basedOn w:val="Normal"/>
    <w:qFormat/>
    <w:pPr>
      <w:tabs>
        <w:tab w:val="clear" w:pos="720"/>
        <w:tab w:val="left" w:pos="1134" w:leader="none"/>
      </w:tabs>
      <w:ind w:left="1134" w:hanging="567"/>
    </w:pPr>
    <w:rPr>
      <w:rFonts w:ascii="Times New Roman" w:hAnsi="Times New Roman" w:cs="Times New Roman"/>
      <w:sz w:val="24"/>
    </w:rPr>
  </w:style>
  <w:style w:type="paragraph" w:styleId="ListBullet1">
    <w:name w:val="List Bullet 1"/>
    <w:basedOn w:val="Normal"/>
    <w:qFormat/>
    <w:pPr>
      <w:tabs>
        <w:tab w:val="clear" w:pos="720"/>
        <w:tab w:val="left" w:pos="567" w:leader="none"/>
      </w:tabs>
      <w:ind w:left="568" w:hanging="284"/>
    </w:pPr>
    <w:rPr>
      <w:rFonts w:ascii="Times New Roman" w:hAnsi="Times New Roman" w:eastAsia="Calibri" w:cs="Times New Roman"/>
      <w:iCs/>
      <w:sz w:val="24"/>
      <w:lang w:val="de-DE"/>
    </w:rPr>
  </w:style>
  <w:style w:type="paragraph" w:styleId="BoxTableHead">
    <w:name w:val="Box Table Head"/>
    <w:basedOn w:val="Normal"/>
    <w:qFormat/>
    <w:pPr>
      <w:spacing w:before="120" w:after="120"/>
    </w:pPr>
    <w:rPr>
      <w:rFonts w:ascii="Times New Roman" w:hAnsi="Times New Roman" w:eastAsia="Calibri" w:cs="SlimbachStd-Book"/>
      <w:sz w:val="24"/>
      <w:szCs w:val="18"/>
      <w:lang w:val="en-US"/>
    </w:rPr>
  </w:style>
  <w:style w:type="paragraph" w:styleId="BoxTableText">
    <w:name w:val="Box Table Text"/>
    <w:basedOn w:val="Normal"/>
    <w:qFormat/>
    <w:pPr>
      <w:autoSpaceDE w:val="false"/>
      <w:spacing w:before="0" w:after="60"/>
    </w:pPr>
    <w:rPr>
      <w:rFonts w:ascii="Times New Roman" w:hAnsi="Times New Roman" w:eastAsia="Calibri" w:cs="SlimbachStd-BookItalic"/>
      <w:iCs/>
      <w:szCs w:val="23"/>
      <w:lang w:val="en-US"/>
    </w:rPr>
  </w:style>
  <w:style w:type="paragraph" w:styleId="BoxTableAuthor">
    <w:name w:val="Box Table Author"/>
    <w:basedOn w:val="Normal"/>
    <w:qFormat/>
    <w:pPr>
      <w:spacing w:before="0" w:after="60"/>
      <w:jc w:val="right"/>
    </w:pPr>
    <w:rPr>
      <w:rFonts w:ascii="Times New Roman" w:hAnsi="Times New Roman" w:eastAsia="Calibri" w:cs="SlimbachStd-Book"/>
      <w:sz w:val="16"/>
      <w:szCs w:val="18"/>
      <w:lang w:val="en-US"/>
    </w:rPr>
  </w:style>
  <w:style w:type="paragraph" w:styleId="Contenutotabella">
    <w:name w:val="Contenuto tabella"/>
    <w:basedOn w:val="Normal"/>
    <w:qFormat/>
    <w:pPr>
      <w:widowControl w:val="false"/>
      <w:suppressLineNumbers/>
    </w:pPr>
    <w:rPr/>
  </w:style>
  <w:style w:type="paragraph" w:styleId="Titolotabella">
    <w:name w:val="Titolo tabella"/>
    <w:basedOn w:val="Contenutotabella"/>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\Users\Thenmozhi.S\AppData\Roaming\Microsoft\Templates\List2Text.dotm_x0000__x0000_</Template>
  <TotalTime>0</TotalTime>
  <Application>LibreOffice/7.3.2.2$Windows_X86_64 LibreOffice_project/49f2b1bff42cfccbd8f788c8dc32c1c309559be0</Application>
  <AppVersion>15.0000</AppVersion>
  <Pages>8</Pages>
  <Words>2034</Words>
  <Characters>11379</Characters>
  <CharactersWithSpaces>13206</CharactersWithSpaces>
  <Paragraphs>214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2023-03-01T09:39:37Z</dcterms:created>
  <dc:creator/>
  <dc:description/>
  <dc:language>it-IT</dc:language>
  <cp:lastModifiedBy/>
  <cp:revision>1</cp:revision>
  <dc:subject/>
  <dc:title>e_Esercitazioni_competenze_133-152</dc:title>
</cp:coreProperties>
</file>